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4C.120/2005 vom 7. September 2005</w:t>
      </w:r>
    </w:p>
    <w:p>
      <w:r>
        <w:t>Bundesgericht, 2005-09-07, FR</w:t>
      </w:r>
    </w:p>
    <w:p>
      <w:r>
        <w:rPr>
          <w:b/>
        </w:rPr>
        <w:t xml:space="preserve">Quelle: </w:t>
      </w:r>
      <w:r>
        <w:t>https://mcp.opencaselaw.ch/entscheid/bger_4C.120_2005</w:t>
      </w:r>
    </w:p>
    <w:p>
      <w:r>
        <w:t>FR: TF 4C.120/2005 du 7 septembre 2005</w:t>
      </w:r>
    </w:p>
    <w:p>
      <w:r>
        <w:t>IT: TF 4C.120/2005 del 7 settembre 2005</w:t>
      </w:r>
    </w:p>
    <w:p>
      <w:pPr>
        <w:pStyle w:val="Heading2"/>
      </w:pPr>
      <w:r>
        <w:t>Regeste</w:t>
      </w:r>
    </w:p>
    <w:p>
      <w:r>
        <w:t>raison de commerce individuelles; risque de confusion | Droit des obligations (en général)</w:t>
      </w:r>
    </w:p>
    <w:p>
      <w:pPr>
        <w:pStyle w:val="Heading2"/>
      </w:pPr>
      <w:r>
        <w:t>Erwägungen</w:t>
      </w:r>
    </w:p>
    <w:p>
      <w:r>
        <w:rPr>
          <w:b/>
        </w:rPr>
        <w:t>E. 1.1</w:t>
      </w:r>
    </w:p>
    <w:p>
      <w:r>
        <w:t>Le présent recours en réforme est interjeté dans le cadre d'une contestation civile en matière de protection des raisons de commerce dont la Cour de justice a connu en tant qu'instance cantonale unique. Il est donc recevable sans égard à la valeur litigieuse ( art. 45 let. a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rPr>
          <w:b/>
        </w:rPr>
        <w:t>E. 2</w:t>
      </w:r>
    </w:p>
    <w:p>
      <w:r>
        <w:t>La recourante déclare tout d'abord ne pas s'expliquer les raisons pour lesquelles la cour cantonale a examiné sa raison individuelle en qualité d'enseigne, alors qu'elle a qualifié de raison individuelle la raison de commerce de l'intimée. Elle affirme que c'est au regard de l'usage des patronymes des parties qu'il convient de juger les risques de confusion possibles. La défenderesse fait valoir que contrairement à ce qu'a retenu la Cour de justice, la raison individuelle n'est protégée qu'à l'intérieur de la localité où l'activité commerciale est exercée. Discutant des rapports de concurrence entre les deux instituts, la recourante prétend que ceux-ci sont éloignés géographiquement, que leur clientèle est bien distincte et que, de toute manière, la relation d'une cliente avec son esthéticienne a un caractère éminemment "intuitu personae". Pour la défenderesse, qui se réfère à l' ATF 114 II 432 , le terme "Atlantis" ne serait pas l'élément saillant des deux raisons individuelles, mais n'en constituerait qu'un élément accessoire, dès l'instant où existerait une relation naturelle entre ce nom de fantaisie et l'activité d'un institut de beauté. Enfin, l'action de la demanderesse devrait aussi être rejetée à supposer qu'elle repose, par le recours à l' art. 946 al. 3 CO , sur les dispositions prohibant la concurrence déloyale.</w:t>
      </w:r>
    </w:p>
    <w:p>
      <w:r>
        <w:rPr>
          <w:b/>
        </w:rPr>
        <w:t>E. 3</w:t>
      </w:r>
    </w:p>
    <w:p>
      <w:r>
        <w:t>L'inscription au registre du commerce de la raison de commerce notamment d'un particulier confère à l'ayant droit l'usage exclusif de celle-ci ( art. 956 al. 1 CO ). Celui qui subit un préjudice du fait de l'usage indu d'une raison de commerce peut demander au juge d'y mettre fin et, s'il y a faute, réclamer des dommages-intérêts ( art. 956 al. 2 CO ). Est donc prohibé non seulement l'usage d'une raison de commerce identique à celle dont le titulaire a le droit exclusif, mais aussi l'utilisation d'une raison semblable, qui ne se différencie pas suffisamment de celle inscrite au point de créer un risque de confusion (consid. 5.3 non publié de l' ATF 130 III 478 ). Constitue un usage à titre de raison de commerce toute utilisation du signe distinctif qui se trouve en relation immédiate avec l'activité commerciale, comme par exemple l'emploi d'une enseigne ( art. 48 ORC ) reproduisant le signe en cause, l'inscription de celui-ci sur des papiers d'affaires à l'instar des catalogues, des listes de prix, des prospectus et des cartes de recommandation et l'utilisation du signe dans des répertoires d'adresses ou des annuaires téléphoniques ( ATF 103 IV 202 consid. 1). A teneur de l' art. 946 al. 1 CO , la protection conférée par l' art. 956 CO aux titulaires de raisons individuelles se limite à la localité où leur raison est enregistrée. Par localité, il faut entendre la commune politique dans laquelle l'entreprise individuelle a son siège, y compris l'espace économique qui y est immédiatement rattaché (Christian Hilti, Firmenrecht in: Schweizerisches Immaterialgüter- und Wettbewerbsrecht (SIWR), vol. III, Kennzeichenrecht, p. 299; Martina Altenpohl, Commentaire bâlois, n. 5 ad art. 946 CO ; Philippe Gilliéron, Les divers régimes de protection des signes distinctifs et leurs rapports avec le droit des marques, thèse Lausanne 2000, ch. 106, p. 131/132). Le titulaire d'une raison individuelle n'est pas soumis aux règles de l' art. 951 CO sur les raisons sociales. Mais il doit respecter les droits conférés par l' art. 956 CO au titulaire de la raison de commerce inscrite au registre du commerce. Autrement dit, il doit éviter, par une différenciation suffisante, les risques de confusion avec ladite raison.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 ATF 128 III 401 consid. 5; 127 III 160 consid. 2a). Il convient surtout de prendre en compte les éléments frappants que leur signification ou leur sonorité mettent particulièrement en évidence, si bien qu'ils ont une importance accrue pour l'appréciation du risque de confusion ( ATF 127 III 160 consid. 2b/cc;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 art. 956 CO ( ATF 128 III 224 consid. 2b p. 226 s.).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(consid. 5.3 non publié de l' ATF 130 III 478 ; ATF 122 III 369 consid. 1). A cet égard, ne sont généralement pas suffisants les éléments descriptifs qui ont trait à la forme juridique ou au domaine d'activité de l'entreprise (consid. 5.3 non publié de l' ATF 130 III 478 ; ATF 100 II 224 consid. 3; 97 II 153 consid. 2b-g; arrêt 4C.206/1999 consid. 2a, in: sic! 5/2000 p. 399 s.). Il a ainsi été jugé que l'ajout "Frauenfeld", en raison de la faible force distinctive de cette indication de lieu, ne présentait pas une individualisation suffisante à l'endroit de la raison "Merkur Immobilien AG" ( ATF 88 II 293 consid. 3). Il en va de même de l'adjonction "Finanz" à propos de la raison sociale "Aussenhandels AG" ( ATF 100 II 224 consid. 3). Il a encore été admis qu'il n'était pas suffisant de faire précéder de l'article défini allemand "Die" le substantif "Wache", élément principal de la raison sociale plus ancienne "Wache AG" (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 ATF 122 III 369 consid. 2b).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127 III 160 consid. 2a).</w:t>
      </w:r>
    </w:p>
    <w:p>
      <w:r>
        <w:rPr>
          <w:b/>
        </w:rPr>
        <w:t>E. 4.1</w:t>
      </w:r>
    </w:p>
    <w:p>
      <w:r>
        <w:t>Il résulte de l'état de fait définitif ( art. 63 al. 2 OJ ) que la défenderesse est inscrite dans le registre des entreprises du canton de Genève au regard de la dénomination "Institut de beauté Atlantis". Cette dernière constitue clairement une enseigne commerciale, laquelle se rapporte au local affecté à l'entreprise concernée, et non à l'entrepreneur ( ATF 130 III 58 consid. 5.2; Gilliéron, op. cit., ch. 84, p. 107). La recourante figure dans le répertoire téléphonique de Swisscom sous la désignation "Atlantis Lombardo Sabrina". Il s'agit là de la raison de commerce de son entreprise individuelle, laquelle doit contenir comme élément essentiel de sa raison le nom de famille du titulaire avec ou sans prénom ( art. 945 al. 1 CO ) et n'a l'obligation d'être inscrite au registre du commerce, vu son domaine d'activité, que si son chiffre d'affaires est supérieur à 100'000 fr. ( art. 934 CO ; art. 54 ORC ). La recourante fait encore de la publicité pour son institut de beauté dans un journal distribué dans les communes d'Onex et Lancy, en mettant en évidence le terme "Atlantis". Il s'ensuit que la défenderesse utilise bien le signe distinctif "Atlantis" dans sa raison de commerce et fait une utilisation commerciale de ce signe sur son enseigne, dans le répertoire des entreprises genevoises ainsi que dans des encarts publicitaires publiés dans des journaux locaux. Il a été retenu que la demanderesse a inscrit en février 2001 au registre du commerce la raison individuelle "Simao Institut de beauté Atlantis", alors que la défenderesse n'a pas inscrit son entreprise audit registre. Dans ces conditions, l'intimée bénéficie indubitablement de la protection conférée à sa raison de commerce par l' art. 956 CO . Il n'importe en effet que celui qui porte atteinte au droit exclusif du titulaire de la raison individuelle enregistrée ne soit lui-même pas inscrit au registre du commerce (Hilti, op. cit., p. 290 in medio).</w:t>
      </w:r>
    </w:p>
    <w:p>
      <w:r>
        <w:rPr>
          <w:b/>
        </w:rPr>
        <w:t>E. 4.2</w:t>
      </w:r>
    </w:p>
    <w:p>
      <w:r>
        <w:t>La recourante prétend que l'élément qui attire l'attention du public dans les raisons de commerce des parties n'est pas le terme "Atlantis", mais bien le patronyme des intéressées, de sorte qu'il n'y aurait aucun risque de confusion entre les deux entreprises. La recourante fait référence en particulier à l' ATF 114 II 432 .</w:t>
      </w:r>
    </w:p>
    <w:p>
      <w:r>
        <w:rPr>
          <w:b/>
        </w:rPr>
        <w:t>E. 4.2.1</w:t>
      </w:r>
    </w:p>
    <w:p>
      <w:r>
        <w:t>Il est vrai que les noms de personne sont considérés en principe comme des éléments frappants ou "forts", c'est-à-dire susceptibles d'individualiser l'entreprise, surtout s'ils sont mis à la première place de la raison de commerce, et ne sont pas usuels à l'exemple de "Martin", "Müller", etc. (cf. Hilti, op. cit., p. 300/301; Gilliéron, op. cit., ch. 96 et la note n° 276, p. 121).</w:t>
      </w:r>
    </w:p>
    <w:p>
      <w:r>
        <w:rPr>
          <w:b/>
        </w:rPr>
        <w:t>E. 4.2.2</w:t>
      </w:r>
    </w:p>
    <w:p>
      <w:r>
        <w:t>Dans l' ATF 114 II 432 consid. 2c, le Tribunal fédéral a jugé que la raison sociale "Lacoste Alligator SA" se distinguait nettement de la raison individuelle "Pierre Keller Alligator publicité", car le patronyme "Lacoste" - lequel, on le rappelle, était porté par un célèbre joueur de tennis français - était notoire et connu. La recourante ne peut rien tirer de ce précédent, étant donné que le nom de famille de l'intimée, soit "Simao", n'a certainement pas cette caractéristique, du moins en Suisse. Il n'est d'ailleurs même pas bien connu dans la région genevoise, comme c'était le cas du patronyme "Graber" dans le canton de Neuchâtel (cf. à ce propos ATF 88 II 28 consid. III/1 let. b). A cela s'ajoute que la recourante ne met pas en première place dans sa raison de commerce le nom "Lombardo", puisqu'elle est inscrite dans le répertoire de Swisscom sous la mention "Atlantis Lombardo Sabrina" (cf., sur ce point, ATF 74 II 235 consid. 2c p. 239 in initio). De plus, comme on l'a vu, la forme juridique des entreprises exploitées par les parties est identique, ce qui renforce le danger de confusion ( ATF 74 II 235 consid. 2c p. 239 in medio). Au vu de ce qui précède, le terme "Atlantis" constitue l'élément frappant de la raison individuelle de la recourante, étant donné que les compléments "Institut de beauté" ne font allusion qu'à l'activité de l'entreprise en cause (consid. 5.3 non publié de l' ATF 130 III 478 ).</w:t>
      </w:r>
    </w:p>
    <w:p>
      <w:r>
        <w:rPr>
          <w:b/>
        </w:rPr>
        <w:t>E. 4.2.3</w:t>
      </w:r>
    </w:p>
    <w:p>
      <w:r>
        <w:t>Même si l'intimée, dans sa raison individuelle, met en premier son patronyme (i.e. "Simao") avant la dénomination "Institut de beauté Atlantis" , il apparaît nettement que le public va diriger son attention sur le vocable "Atlantis". De fait, cette désignation de fantaisie (cf. consid. 4.3 ci-dessous) prend le pas sur l'impression laissée par le nom de famille "Simao", qui n'est pas particulièrement connu dans le canton de Genève.</w:t>
      </w:r>
    </w:p>
    <w:p>
      <w:r>
        <w:rPr>
          <w:b/>
        </w:rPr>
        <w:t>E. 4.3</w:t>
      </w:r>
    </w:p>
    <w:p>
      <w:r>
        <w:t>Le terme "Atlantis" est un mot latin ayant pour équivalent français "Atlantide", île fabuleuse, dont parle Platon dans le Timée et le Critias, qui se serait située au-delà des colonnes d'Hercule (Gibraltar) et aurait été engloutie dans un cataclysme gigantesque. Ce mot, en dépit des affirmations de la recourante, ne donne aucune indication générale sur le genre d'activité de l'entreprise ainsi désignée. Il a certes été constaté qu'il est utilisé assez fréquemment en association avec des instituts de beauté ou de thalassothérapie. Pourtant, il évoque dans le public, par association d'idées, un rapport à la mer ou l'océan, qui peut parfaitement concerner des entreprises d'une tout autre nature, comme des agences de voyages, des établissements publics offrant des produits de la mer, des magasins de sport, voire des entreprises d'import-export. Il convient ainsi de reconnaître que le mot "Atlantis" est doté d'une certaine originalité lorsqu'il constitue la partie frappante de la raison individuelle d'un institut de beauté, à l'instar de celui de la demanderesse, de sorte qu'il doit être assimilé à une désignation de fantaisie.</w:t>
      </w:r>
    </w:p>
    <w:p>
      <w:r>
        <w:rPr>
          <w:b/>
        </w:rPr>
        <w:t>E. 4.4</w:t>
      </w:r>
    </w:p>
    <w:p>
      <w:r>
        <w:t>La jurisprudence se montre particulièrement exigeante quant à la distinction de deux raisons de commerce comprenant des désignations de fantaisie, eu égard aux plus grandes possibilités de choix qui sont à disposition parmi des termes revêtus d'une force distinctive ( ATF 122 III 369 consid. 1 p. 371; 118 II 322 consid. 1 p. 324/325; arrêt 4C. 339/1996 du 2 décembre 1996, consid. 5a, in sic! 1/1997 p. 69 s.). Le risque de confusion doit être jugé de manière plus stricte lorsque les entreprises ont des activités identiques ou similaires ou qu'elles exercent leurs activités dans un périmètre géographique restreint ( ATF 118 II 322 consid. 1; 97 II 234 consid. 1; cf. également Kamen Troller, Précis du droit suisse des biens immatériels, p. 92). Comme on vient de le voir, le mot "Atlantis" est l'élément saillant tant de la raison individuelle de l'intimée que de l'enseigne et de la raison de commerce de la recourante, ce qui peut donner l'impression erronée qu'il existe une relation juridique ou économique entre les deux entreprises. Ce sentiment est encore accentué par la circonstance que les deux instituts se suivent immédiatement dans le répertoire téléphonique de Swisscom et qu'ils ne sont séparés que par un imposant placard publicitaire portant, en lettres majuscules et en gras, le terme "Atlantis". Ces éléments suffiraient déjà pour que soit admis le danger de confusion. Mais il y a bien plus. Les deux entreprises en question délivrent toutes deux des soins esthétiques corporels et des drainages lymphatiques, de sorte qu'elles s'adressent rigoureusement à la même clientèle. La recourante fait grand cas qu'elle exerce son art à Onex, alors que sa partie adverse exploite son institut à Genève. En pure perte. En effet, la localité dans laquelle le droit à l'usage exclusif de la raison individuelle inscrite est protégé (cf. art. 946 al. 1 CO ) comprend la commune et son espace économique. Martina Altenpohl écrit ainsi que, par localité, il faut entendre, par exemple, l'agglomération de la ville de Zurich (op. cit., n. 5 ad art. 946 CO ). Dès l'instant où la commune genevoise d'Onex n'est séparée de la ville de Genève que par le Rhône, il n'est nul besoin de longues explications pour admettre que le risque de confusion est encore accru par le fait que les titulaires des raisons de commerce sont actives dans le même périmètre géographique. Ainsi que l'a retenu la Cour de justice, le risque de confusion est en l'occurrence patent. C'est donc sans violer le droit fédéral que la cour cantonale a admis l'action en cessation de trouble de la demanderesse fondée sur l' art. 956 al. 2 CO .</w:t>
      </w:r>
    </w:p>
    <w:p>
      <w:r>
        <w:rPr>
          <w:b/>
        </w:rPr>
        <w:t>E. 5</w:t>
      </w:r>
    </w:p>
    <w:p>
      <w:r>
        <w:t>Par conséquent, le recours doit être rejeté. Compte tenu de l'issue de la cause,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