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4C.119/2001 vom 17. Juli 2001</w:t>
      </w:r>
    </w:p>
    <w:p>
      <w:r>
        <w:t>Bundesgericht, 2001-07-17, DE</w:t>
      </w:r>
    </w:p>
    <w:p>
      <w:r>
        <w:rPr>
          <w:b/>
        </w:rPr>
        <w:t xml:space="preserve">Quelle: </w:t>
      </w:r>
      <w:r>
        <w:t>https://mcp.opencaselaw.ch/entscheid/bger_4C.119_2001</w:t>
      </w:r>
    </w:p>
    <w:p>
      <w:r>
        <w:t>FR: TF 4C.119/2001 du 17 juillet 2001</w:t>
      </w:r>
    </w:p>
    <w:p>
      <w:r>
        <w:t>IT: TF 4C.119/2001 del 17 luglio 2001</w:t>
      </w:r>
    </w:p>
    <w:p>
      <w:pPr>
        <w:pStyle w:val="Heading2"/>
      </w:pPr>
      <w:r>
        <w:t>Erwägungen</w:t>
      </w:r>
    </w:p>
    <w:p>
      <w:r>
        <w:rPr>
          <w:b/>
        </w:rPr>
        <w:t>E. 1</w:t>
      </w:r>
    </w:p>
    <w:p>
      <w:r>
        <w:t>a) Das Obergericht qualifizierte das Vertragsverhältnis der Parteien als Agenturvertrag und nicht als dem Arbeitsvertrag unterstehender Handelsreisendenvertrag. Der Kläger erscheine daher aus schuldrechtlicher Sicht als selbständig Erwerbender. Diese schuldrechtliche Einordnung vermöge aber nichts an der sozialversicherungsrechtlichen Qualifikation des Klägers als unselbständig Erwerbender zu ändern; vielmehr sei diese gegenteilige sozialversicherungsrechtliche Einstufung hinzunehmen, welche gemäss konstanter Rechtsprechung in erster Linie auf die wirtschaftlichen Gegebenheiten abstelle (vgl. BGE 123 V 161 E. 1, 122 V 169 E. 3).</w:t>
      </w:r>
    </w:p>
    <w:p>
      <w:r>
        <w:t>b) Weiter führte das Obergericht aus, die Beklagte habe gegenüber den Sozialversicherungsträgern zwar nach den entsprechenden Bestimmungen sowohl die Arbeitgeber- als auch die Arbeitnehmerbeiträge korrekt abgerechnet. Indem sie aber auch den Arbeitgeberanteil vom Provisionsanspruch des Klägers abzog, habe sie gesetzwidrig gehandelt. Denn die anwendbaren sozialversicherungsrechtlichen Bestimmungen schrieben zwingend vor, die Abgaben seien paritätisch, das heisst je zur Hälfte vom "Arbeitgeber" und dem "Arbeitnehmer" zu erbringen. Die Beklagte habe die Beiträge von Arbeitnehmer und Arbeitgeber an die Sozialwerke aber nicht aufgrund der an und für sich vereinbarten Provisionssätze (10% bzw. 5%), sondern lediglich aufgrund eines bereits um die gesamten Beiträge reduzierten Provisionssatzes in Abzug gebracht. Im Vergleich zur Provisionsvariante in Ziff. 7.1 des Agenturvertrags sei der Kläger mit der getroffenen Regelung nach Ziff. 7.2 des Agenturvertrags schlechter gefahren. Umgekehrt habe diese Regelung zu einem für die Beklagte günstigeren Ergebnis geführt, was sinngemäss dem Schutzzweck der zwingenden Bestimmungen über die paritätische Beitragszahlungspflicht zuwiderlaufe, wonach dem Arbeitnehmer soziale Vorteile gesichert werden sollen. Die Beitragsregelung in Ziffer 7.2 sei somit nichtig, weshalb dem Kläger der eingeklagte, aus den abgezogenen Arbeitgeberbeiträgen resultierende Betrag gegenüber der Beklagten zustünde.</w:t>
      </w:r>
    </w:p>
    <w:p>
      <w:r>
        <w:rPr>
          <w:b/>
        </w:rPr>
        <w:t>E. 2</w:t>
      </w:r>
    </w:p>
    <w:p>
      <w:r>
        <w:t>a) Die Beklagte macht zunächst mit Recht ein offensichtliches Versehen der Vorinstanz geltend, das nach Art. 64 Abs. 2 OG zu korrigieren ist. Anhand der Verfahrensakten ergibt sich zweifelsfrei, dass die Beklagte die gesamten Sozialversicherungsbeiträge entgegen den Ausführungen des Obergerichts aufgrund der Brutto-Provisionssätze von 10% bzw. 5% gemäss Ziff. 7.1 des Agenturvertrags in Abzug gebracht und in dem Sinne korrekt mit den Sozialversicherern abgerechnet hat.</w:t>
      </w:r>
    </w:p>
    <w:p>
      <w:r>
        <w:t>b) Dem Obergericht ist hingegen darin zuzustimmen, dass die sozialversicherungsrechtliche Qualifikation des Klägers als unselbständig Erwerbender aufgrund des Arbeitnehmerbegriffs des Bundesgesetzes über die Alters- und Hinterlassenenversicherung (AHVG) sowie nach Massgabe der Rechtsprechung des eidgenössischen Versicherungsgerichts vorzunehmen ist und vorliegend nicht zur Diskussion steht.</w:t>
      </w:r>
    </w:p>
    <w:p>
      <w:r>
        <w:t>Die in Folge dieser Qualifikation anwendbaren sozialversicherungsrechtlichen Normen schreiben zwingend vor, dass die Sozialabgaben grundsätzlich paritätisch, das heisst je zur Hälfte vom "Arbeitgeber" und dem "Arbeitnehmer" zu erbringen sind ( Art. 5 Abs. 1 und Art. 13 AHVG , Art. 3 Abs. 1 IVG , Art. 2 AVIG , Art. 27 EOG , Art. 66 BVG , Art. 91 UVG ). Die hier strittige Frage ist daher einzig, ob die von den Parteien getroffene Vereinbarung gegen das Paritätsprinzip für die Entrichtung der Sozialversicherungsbeiträge verstösst.</w:t>
      </w:r>
    </w:p>
    <w:p>
      <w:r>
        <w:t>c) In BGE 107 II 430 E. 4 führte das Bundesgericht im Zusammenhang mit einer Streitigkeit über Beitragsforderungen eines Arbeitnehmers gegenüber dem Arbeitgeber aus, dass Vereinbarungen, mit welchen ein Arbeitnehmer mehr als seinen gesetzlichen Anteil der paritätischen Sozialversicherungsbeiträge übernimmt, wegen der zwingenden Natur der gesetzlichen Beitragsregelungen grundsätzlich nichtig sind.</w:t>
      </w:r>
    </w:p>
    <w:p>
      <w:r>
        <w:t>Andernfalls würden die damit verfolgten öffentlichen und sozialen Zwecke vereitelt. Ausnahmsweise sei aber eine Vereinbarung zulässig, nach der auch die Arbeitgeberbeiträge vom Lohn abzuziehen sind, wenn die Parteien damit in Wirklichkeit nicht beabsichtigen, gegen den Grundsatz der Parität der Beitragszahlungen zu verstossen. Ein solcher Ausnahmefall liegt nach der Rechtsprechung etwa vor, wenn das Entgelt als Prozentsatz des Umsatzes oder des Gewinns ausgerichtet wird und bei der Festsetzung dieses Prozentsatzes die Arbeitgeberbeiträge bewusst hinzu geschlagen worden sind ( BGE 107 II 430 E. 4 a.E.).</w:t>
      </w:r>
    </w:p>
    <w:p>
      <w:r>
        <w:rPr>
          <w:b/>
        </w:rPr>
        <w:t>E. 3</w:t>
      </w:r>
    </w:p>
    <w:p>
      <w:r>
        <w:t>a) Obwohl die Ausführungen in BGE 107 II 430 E. 4 einen Arbeitsvertrag nach Art. 319 ff. OR betreffen, sind die darin genannten Voraussetzungen einer Ausnahme von der zwingenden paritätischen Beitragszahlungspflicht zumindest analog auf das vorliegende Vertragsverhältnis anwendbar.</w:t>
      </w:r>
    </w:p>
    <w:p>
      <w:r>
        <w:t>b) Entgegen der Ansicht des Obergerichts ergibt die Auslegung der alternativen Provisionsvereinbarung nach Treu und Glauben, dass die Parteien offensichtlich eine als angemessen befundene Netto-Einkommensregelung trafen. Dem angefochtenen Urteil lässt sich jedenfalls nicht entnehmen, dass der Kläger mit dieser Regelung nicht einverstanden gewesen wäre. Davon ausgehend durfte er die in Folge der sozialversicherungsrechtlichen Einstufung als unselbständig Erwerbender schliesslich getroffene Provisionsregelung nach dem Vertrauensprinzip nicht anders verstehen, als dass der effektive Brutto-Provisionssatz zu seinen Gunsten auf der Grundlage des Nettoeinkommens 8,9% oder 4,45%, bzw. ab September 1995 8,7% oder 4,35% betrug. Ausgehend von den vereinbarten Netto-Provisionssätzen gemäss Ziff. 7.2 des Agenturvertrags musste der Kläger seine hälftigen "Arbeitnehmer"-Sozialabzüge hinzufügen, um die Brutto-Provision zu erhalten (gerundet und aufgrund der Beitragssätze seit 1995): 7,4% netto zuzüglich 1,3% (die Hälfte von 25,65% durch 10) ergibt 8,7% brutto.</w:t>
      </w:r>
    </w:p>
    <w:p>
      <w:r>
        <w:t>Darauf mussten die "Arbeitgeber"-Sozialabzüge gemäss Ziff. 7.2 des Agenturvertrags hinzugezählt werden, was den Provisionssatz von 10% gemäss Ziff. 7.1 des Agenturvertrags und die Abrechnungsbasis für die getätigten Sozialabzüge an die Einrichtungen der Sozialversicherer ergibt. Zu prüfen ist somit lediglich, ob diese Netto-Provisionsregelung gemäss Ziff. 7.2 des Agenturvertrags rechtsgültig ist.</w:t>
      </w:r>
    </w:p>
    <w:p>
      <w:r>
        <w:t>c) Nach dem Grundsatz der Privatautonomie steht es den Parteien frei, den Inhalt ihres Vertrages im Rahmen der Rechtsordnung frei zu bestimmen. Dies gilt unter Vorbehalt von staatlichen oder kollektivvertraglichen Mindestlohnvorschriften namentlich auch für die Höhe der Entlöhnung von Arbeitnehmern, erst recht aber für sämtliche übrigen Dienstleistungserbringer.</w:t>
      </w:r>
    </w:p>
    <w:p>
      <w:r>
        <w:t>Das Obligationenrecht enthält jedenfalls keine Bestimmungen, die zwingend die Vereinbarung einer Bruttoentschädigung vorsehen.</w:t>
      </w:r>
    </w:p>
    <w:p>
      <w:r>
        <w:t>d) Die vorliegende Netto-Provisionsregelung ist auch sozialversicherungsrechtlich nicht zu beanstanden, da sich missbräuchliche oder auf Gesetzesumgehung gerichtete Absichten der Beklagten weder den Feststellungen im angefochtenen Urteil entnehmen lassen noch erkennbar sind. Gesetzesumgehung oder Missbrauchsabsicht könnte allenfalls dann angenommen werden, wenn der Kläger mit der getroffenen im Vergleich zur ursprünglichen Regelung für den Fall der Qualifikation als selbständig Erwerbender gemäss Ziff. 7.1 des Agenturvertrags klar benachteiligt worden wäre. Davon kann jedoch nicht die Rede sein. Bei richtiger gesamtheitlicher Betrachtung hätte der Kläger im einen wie im anderen Fall der ungewissen sozialversicherungsrechtlichen Einordnung als selbständig oder unselbständig Erwerbender im Ergebnis das zumindest gleichwertige Einkommen nach Abzug der Sozialabgaben und der Beiträge für die eigene soziale Sicherheit erwirtschaftet, was aus folgender Berechnung ersichtlich wird:</w:t>
      </w:r>
    </w:p>
    <w:p>
      <w:r>
        <w:t>Ausgehend von der Brutto-Provision gemäss Ziff. 7.1 des Agenturvertrags hätte das Nettoeinkommen des Klägers als sozialversicherungsrechtlich selbständig Erwerbender sich aus folgenden Abzügen berechnet: Von der 10%-Brutto-Provision ist der obligatorische Satz für die Sozialabzüge selbständig Erwerbender für AHV/IV/EO/ALV von insgesamt 9,5% (für Einkommen über Fr. 48'300.-- pro Jahr), folglich 0,95%, in Abzug zu bringen. Das ergibt eine Nettoprovision von 9,05%. Um im Ergebnis in wirtschaftlicher Hinsicht der Provisionsvariante als unselbständig Erwerbender gleichgestellt zu sein, müssen hiervon weitere Prozente abgezogen werden, die der Kläger hätte aufbringen müssen, um eine im Vergleich zur Regelung in Ziff. 7.2 des Agenturvertrags äquivalente soziale Absicherung zu geniessen, so für eine Unfallversicherung, die private Vorsorge gegen Alter, Invalidität und Tod sowie eine Krankentaggeldversicherung für den Erwerbsausfall. Dabei ist davon auszugehen, dass der Kläger - insbesondere für Beiträge der privaten Vorsorge - in jedem Fall mehr Mittel hätte aufbringen müssen als im Fall der getroffenen Provisionsvariante gemäss Ziff. 7.2 des Agenturvertrags. Aus diesem Grund fällt auch nicht ins Gewicht, dass der Beitragssatz für AHV/IV/EO/ALV bei selbständig Erwerbenden um 3,1% (im vorliegenden Fall folglich 0,31%) tiefer liegt als derjenige von Arbeitnehmer und Arbeitgeber insgesamt im Fall der unselbständigen Erwerbstätigkeit.</w:t>
      </w:r>
    </w:p>
    <w:p>
      <w:r>
        <w:t>e) Der Beklagten kann hierbei einzig vorgeworfen werden, sie habe die Entlöhnung für die unselbständige Erwerbstätigkeit gegenüber dem Kläger nicht mit der gebotenen Deutlichkeit als Brutto-Provision von tatsächlich 8,9% oder 4,45% (bzw. 8,7% oder 4,35%) ausgewiesen. Das ändert aber nichts daran, dass der Kläger im Ergebnis das erhielt, was ihm nach Treu und Glauben aus dem Agenturvertrag zustand.</w:t>
      </w:r>
    </w:p>
    <w:p>
      <w:r>
        <w:t>Die vom Obergericht beanstandete nominelle Abwälzung der Beiträge auf den Kläger stellt im Gegenteil bloss einen Berechnungsfaktor im Rahmen der angewendeten Methode zur Ermittlung des dem Kläger zustehenden Einkommens dar.</w:t>
      </w:r>
    </w:p>
    <w:p>
      <w:r>
        <w:t>f) Die von den Parteien auf der Basis des Nettoeinkommens vereinbarte und schliesslich getroffene Provisionsregelung ist daher bundesrechtlich nicht zu beanstanden, da sie jedenfalls die in BGE 107 II 430 E. 4 aufgestellten Ausnahmekriterien erfüllt. Soweit das Obergericht die von den Parteien getroffene Netto-Provisionsvereinbarung unberücksichtigt liess und statt dessen auf der Basis einer Brutto-Einkommensvereinbarung von einer im Sinne von Art. 20 OR wegen Verstosses gegen den Grundsatz der paritätischen Beitragszahlungspflicht nichtigen Lohnabrede ausging, hat es Bundesrecht verletzt.</w:t>
      </w:r>
    </w:p>
    <w:p>
      <w:r>
        <w:rPr>
          <w:b/>
        </w:rPr>
        <w:t>E. 4</w:t>
      </w:r>
    </w:p>
    <w:p>
      <w:r>
        <w:t>Nach dem Gesagten stehen dem Kläger keinerlei Ansprüche gegenüber der Beklagten zu. Das führt zu Gutheissung der Berufung, Aufhebung des angefochtenen Urteils und Abweisung der Klage. Dem Ausgang des Verfahrens entsprechend hat der Kläger die Gerichts- und Parteikosten zu tragen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