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4C.118/2004 vom 28. Juli 2004</w:t>
      </w:r>
    </w:p>
    <w:p>
      <w:r>
        <w:t>Bundesgericht, 2004-07-28, IT</w:t>
      </w:r>
    </w:p>
    <w:p>
      <w:r>
        <w:rPr>
          <w:b/>
        </w:rPr>
        <w:t xml:space="preserve">Quelle: </w:t>
      </w:r>
      <w:r>
        <w:t>https://mcp.opencaselaw.ch/entscheid/bger_4C.118_2004</w:t>
      </w:r>
    </w:p>
    <w:p>
      <w:r>
        <w:t>FR: TF 4C.118/2004 du 28 juillet 2004</w:t>
      </w:r>
    </w:p>
    <w:p>
      <w:r>
        <w:t>IT: TF 4C.118/2004 del 28 luglio 2004</w:t>
      </w:r>
    </w:p>
    <w:p>
      <w:pPr>
        <w:pStyle w:val="Heading2"/>
      </w:pPr>
      <w:r>
        <w:t>Regeste</w:t>
      </w:r>
    </w:p>
    <w:p>
      <w:r>
        <w:t>Diritto contratuale</w:t>
      </w:r>
    </w:p>
    <w:p>
      <w:pPr>
        <w:pStyle w:val="Heading2"/>
      </w:pPr>
      <w:r>
        <w:t>Erwägungen</w:t>
      </w:r>
    </w:p>
    <w:p>
      <w:r>
        <w:rPr>
          <w:b/>
        </w:rPr>
        <w:t>E. 1</w:t>
      </w:r>
    </w:p>
    <w:p>
      <w:r>
        <w:t>Il Tribunale federale si pronuncia d'ufficio e con pieno potere d'esame sulla ricevibilità del ricorso per riforma ( DTF 129 III 750 consid. 2 con rinvio).</w:t>
      </w:r>
    </w:p>
    <w:p>
      <w:r>
        <w:rPr>
          <w:b/>
        </w:rPr>
        <w:t>E. 1.1</w:t>
      </w:r>
    </w:p>
    <w:p>
      <w:r>
        <w:t>La sentenza impugnata, emanata dall'ultima istanza ticinese nell'ambito della procedura sommaria per lo sfratto dei conduttori secondo il diritto ticinese (art. 506 segg. CPC/TI), è una decisione finale a norma dell' art. 48 cpv. 1 OG (cfr. Bruno Cocchi, Autorità competenti, aspetti procedurali e sfratto in: Diritto della Locazione, Giurisprudenza recente e tendenze dottrinali, Atti della giornata di studio del 26 marzo 1999, Lugano 2000, pag. 89 segg. e in particolare pag. 95).</w:t>
      </w:r>
    </w:p>
    <w:p>
      <w:r>
        <w:rPr>
          <w:b/>
        </w:rPr>
        <w:t>E. 1.2</w:t>
      </w:r>
    </w:p>
    <w:p>
      <w:r>
        <w:t>Giusta l' art. 46 OG nelle cause civili di carattere pecuniario, come quella in esame, il ricorso per riforma è ammissibile solo se il va lore litigioso davanti all'ultima giurisdizione cantonale raggiungeva fr. 8'000.--. Trattandosi di un litigio concernente la cessazione della locazione, ai fini del calcolo del valore di causa risulta determinante il periodo durante il quale il contratto sussisterebbe necessariamente qualora esso non fosse terminato al 31 marzo 2003, come sostenuto dall'attore. Secondo la giurisprudenza tale periodo si estende sino al momento in cui una nuova (ordinaria) disdetta può essere data, oppure è già stata data ( DTF 111 II 384 consid. 1). In pratica, occorre prendere in considerazione il periodo di tre anni di cui all'art. 271a cpv. 1 lett. e CO (cfr. David Lachat, Le bail à loyer, n. 3.3 a pag. 105). Considerato che in concreto la pigione mensile ammonta a fr. 1'073.--, il valore di causa richiesto dall' art. 46 OG risulta ampiamente superato.</w:t>
      </w:r>
    </w:p>
    <w:p>
      <w:r>
        <w:rPr>
          <w:b/>
        </w:rPr>
        <w:t>E. 1.3</w:t>
      </w:r>
    </w:p>
    <w:p>
      <w:r>
        <w:t>Interposto in tempo utile ( art. 54 OG ) e nella forma prescritta dalla legge ( art. 55 OG ), il ricorso per riforma si avvera pertanto ricevibile, sotto questo profilo.</w:t>
      </w:r>
    </w:p>
    <w:p>
      <w:r>
        <w:rPr>
          <w:b/>
        </w:rPr>
        <w:t>E. 2</w:t>
      </w:r>
    </w:p>
    <w:p>
      <w:r>
        <w:t>Prima di esaminare le censure ricorsuali appare utile rammentare che, nella giurisdizione di riforma, il Tribunale federale fonda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ovverosia mediante fatti allegati da una parte in sede cantonale in modo conforme alle norme sulla procedura, ma ritenuti a torto irrilevanti dall'autorità cantonale o da essa negletti a causa dell'errata comprensione del diritto federale ( DTF 127 III 248 consid. 2c con rinvii).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citati). Nel quadro dell'esame del gravame, il Tribunale federale non può andare oltre i limiti delle conclusioni delle parti; esso non è per contro vincolato dai motivi che queste invocano ( art. 63 cpv. 1 OG ) né dall'apprezzamento giuridico esposto nella sentenza impugnata ( art. 63 cpv. 3 OG ). Il ricorso per riforma può essere accolto per motivi diversi da quelli addotti negli allegati delle parti così come può essere respinto sulla base di un'argomentazione giuridica diversa da quella esposta dalla Corte cantonale ( DTF 130 III 136 consid. 1.4 pag. 140). Contrariamente a quanto sembra ritenere l'attore, il ricorso per riforma non può dunque venir dichiarato inammissibile a causa della presentazione di nuovi argomenti giuridici da parte del convenuto, perlomeno nella misura in cui egli si fonda sulla fattispecie accertata nel giudizio impugnato.</w:t>
      </w:r>
    </w:p>
    <w:p>
      <w:r>
        <w:rPr>
          <w:b/>
        </w:rPr>
        <w:t>E. 3</w:t>
      </w:r>
    </w:p>
    <w:p>
      <w:r>
        <w:t>La controversia verte principalmente sulla natura e gli effetti dell'accordo sottoscritto dalle parti il 12/13 dicembre 2002, nel quale il convenuto, dopo essersi riconosciuto debitore di fr. 4'616.--, si è impegnato a pagare gli arretrati in forma rateale e alle seguenti condizioni: "A) Frs. 1'154.20 + Frs 1'073.-- (dicembre 2002)= frs. 2'227.20 entro il 15.12.2002. In caso di mancato pagamento entro detto termine, l'inquilino dichiara di sciogliere il contratto di locazione per il 31 dicembre 2002, data in cui riconsegnerà l'appartamento. B) Frs. 1'154.20 + Frs 1'073.-- (gennaio 2003)= frs. 2'227.20 entro il 15.01.2003. In caso di mancato pagamento entro detto termine, l'inquilino dichiara di sciogliere il contratto di locazione per il 31 gennaio 2003, data in cui riconsegnerà l'appartamento. C) Frs. 1'154.20 + Frs 1'073.-- (febbraio 2003)= frs. 2'227.20 entro il 15.02.2003. In caso di mancato pagamento entro detto termine, l'inquilino dichiara di sciogliere il contratto di locazione per il 28 febbraio 2003, data in cui riconsegnerà l'appartamento. D) Frs. 1'154.20 + Frs 1'073.-- (marzo 2003)= frs. 2'227.20 entro il 15.03.2003. In caso di mancato pagamento entro detto termine, l'inquilino dichiara di sciogliere il contratto di locazione per il 31 marzo 2003, data in cui riconsegnerà l'appartamento."</w:t>
      </w:r>
    </w:p>
    <w:p>
      <w:r>
        <w:rPr>
          <w:b/>
        </w:rPr>
        <w:t>E. 3.1</w:t>
      </w:r>
    </w:p>
    <w:p>
      <w:r>
        <w:t>A mente del convenuto questo patto sarebbe nullo. Oltre ad essere stato imposto dall'attore, il quale altrimenti avrebbe proseguito nella procedura di sfratto, esso non ossequia infatti i termini di disdetta previsti dall' art. 257d CO , norma imperativa e non derogabile per accordo tra le parti. In altre parole, si tratta - secondo il convenuto - di un negozio giuridico nullo siccome illecito ( art. 20 CO ), rappresentando palesemente un tentativo di eludere le norme poste a tutela degli inquilini. Dal canto suo, l'attore contesta l'applicabilità delle norme di diritto invocate nel ricorso. Egli precisa come fra le parti sia intervenuto un accordo ex novo, nell'ambito del quale il convenuto ha promesso il pagamento rateale degli arretrati aggiungendo che, in caso di mancato ossequio degli impegni presi, avrebbe sciolto il contratto di locazione per la fine del mese. La procedura di sfratto è dunque la naturale conseguenza dell'inadempimento contrattuale del convenuto.</w:t>
      </w:r>
    </w:p>
    <w:p>
      <w:r>
        <w:rPr>
          <w:b/>
        </w:rPr>
        <w:t>E. 3.2</w:t>
      </w:r>
    </w:p>
    <w:p>
      <w:r>
        <w:t>Ai fini del giudizio occorre tenere ben presente il contesto in cui si inserisce il documento sottoscritto dalle parti il 12/13 dicembre 2002. In primo luogo va evidenziato come il contratto di locazione sia stato validamente rescisso il 18 novembre 2002, con la disdetta fondata sull' art. 257d CO . Il convenuto non ha mai sostenuto il contrario. Siccome chi recede da un contratto esercita un diritto formatore, l'attore non poteva più, successivamente - nemmeno con il consenso del convenuto - revocare la disdetta (sul principio dell'irrevocabilità dei diritti formatori cfr. Gauch/Schluep/Schmid/Rey, Schweizerisches Obligationenrecht, Allgemeiner Teil, vol.1, 8a ed., Zurigo 2003, n. 156). Se del caso, le parti avrebbero potuto stipulare un nuovo contratto di locazione, ciò che però non è avvenuto, la convenzione stipulata il 12/13 dicembre 2002 non contemplando gli elementi essenziali di tale negozio giuridico. A ben guardare, le parti hanno convenuto l'annullamento degli effetti della disdetta, vale a dire l'annullamento dell'obbligo fatto al convenuto di lasciare i locali entro il 31 dicembre 2002. Esse hanno infatti pattuito ch'egli avrebbe potuto continuare ad occupare l'appartamento durante (almeno) quattro mesi. Questa concessione è stata però sottoposta ad una condizione: il versamento mensile, da parte del convenuto, di una quota degli arretrati e di un importo corrispondente alla pigione pagata in pendenza di locazione. In caso di mancato pagamento entro la metà del mese, il convenuto avrebbe riconsegnato l'ente locato. Non avendo egli provveduto al pagamento della rata di marzo l'accordo concernente l'annullamento degli effetti della disdetta è venuto a cadere e, di conseguenza, la disdetta 18 novembre 2002 è tornata ad esplicare i suoi effetti. Ciò significa che il convenuto avrebbe dovuto lasciare i locali entro la fine del mese, così come concordato. La lettera inviatagli dall'attore il 25 marzo 2003 va letta in questo senso: essa non configurava una disdetta bensì un richiamo del convenuto ai suoi obblighi. L'utilizzo di un modulo ufficiale non era pertanto necessario. La censura concernente la violazione degli art. 266l e 266o CO si avvera dunque priva di fondamento.</w:t>
      </w:r>
    </w:p>
    <w:p>
      <w:r>
        <w:rPr>
          <w:b/>
        </w:rPr>
        <w:t>E. 3.3</w:t>
      </w:r>
    </w:p>
    <w:p>
      <w:r>
        <w:t>Ne discende che, contrariamente a quanto asserito nel gravame, mediante la stipulazione della convenzione controversa le parti non hanno eluso il diritto imperativo bensì raggiunto un accordo che si inserisce nello spirito dell' art. 257d CO . La procedura di disdetta in due tappe prevista dall' art. 257d CO - la prima consistente nell'assegnazione di un termine di pagamento assortito della comminatoria di disdetta e la seconda nella disdetta vera e propria (cfr. David Lachat, op. cit., n. 5.1 e nota à pié di pagina 35 pag. 209) - mira infatti principalmente a concedere ai conduttori un'ultima occasione per evitare le conseguenze della disdetta, dando loro un minimo di tempo per potersi procurare i mezzi finanziari neces sari al pagamento delle pigioni arretrate (cfr. Higi, op. cit., n. 31 ad art. 257d CO ). In concreto il convenuto, grazie al noto accordo, ha beneficiato di un termine ben più lungo di quello concessogli dall' art. 257d CO per poter trovare il denaro necessario al pagamento delle pigioni arretrate.</w:t>
      </w:r>
    </w:p>
    <w:p>
      <w:r>
        <w:rPr>
          <w:b/>
        </w:rPr>
        <w:t>E. 3.4</w:t>
      </w:r>
    </w:p>
    <w:p>
      <w:r>
        <w:t>Alla luce di tutto quanto appena esposto, la decisione impugnata appare conforme al diritto federale e il ricorso deve venire respinto.</w:t>
      </w:r>
    </w:p>
    <w:p>
      <w:r>
        <w:rPr>
          <w:b/>
        </w:rPr>
        <w:t>E. 4</w:t>
      </w:r>
    </w:p>
    <w:p>
      <w:r>
        <w:t>Nulla muta l'asserito pagamento dell'integralità delle pigioni arretrate il 2 maggio 2003.</w:t>
      </w:r>
    </w:p>
    <w:p>
      <w:r>
        <w:rPr>
          <w:b/>
        </w:rPr>
        <w:t>E. 4.1</w:t>
      </w:r>
    </w:p>
    <w:p>
      <w:r>
        <w:t>Si tratta di un fatto nuovo, privo di riscontro nella sentenza impugnata, che il convenuto adduce nel ricorso per riforma senza nemmeno allegare una delle circostanze eccezionali menzionate al consid. 2. Esso non può pertanto venir tenuto in considerazione (cfr. art. 55 cpv. 1 lett. c e 63 cpv. 2 OG). Il gravame risulta dunque inammissibile, su questo punto.</w:t>
      </w:r>
    </w:p>
    <w:p>
      <w:r>
        <w:rPr>
          <w:b/>
        </w:rPr>
        <w:t>E. 4.2</w:t>
      </w:r>
    </w:p>
    <w:p>
      <w:r>
        <w:t>Sia come sia, l'accettazione di questi pagamenti da parte dell'attore non può essere considerata una rinuncia a chiedere lo sfratto. Come rettamente osservato dai giudici ticinesi, nello scritto 14 aprile 2003 l'attore ha infatti chiaramente precisato di ritenere sciolto il contratto di locazione a far tempo dal 31 marzo 2003. Prova ne sia anche il fatto che il 14 aprile 2003 egli ha introdotto la domanda di sfratto, poi reiterata il 10 giugno 2003. Tale comportamento costituisce l'espressione inequivocabile dell'intenzione dell'attore di mettere definitivamente fine alla relazione con il convenuto ed esclude la possibilità di ammettere la stipulazione tacita di un nuovo contratto di locazione (cfr. DTF 119 II 147 consid. 5 pag. 156).</w:t>
      </w:r>
    </w:p>
    <w:p>
      <w:r>
        <w:rPr>
          <w:b/>
        </w:rPr>
        <w:t>E. 5</w:t>
      </w:r>
    </w:p>
    <w:p>
      <w:r>
        <w:t>Il convenuto non ha miglior fortuna laddove assevera che l'attore avrebbe implicitamente rinunciato ad avvalersi dell'accordo 12/13 dicembre 2002 tollerando il ritardo nel pagamento della rata di febbraio. Questo argomento è stato scartato dalla massima istanza cantonale per ragioni di natura procedurale - segnatamente in applicazione dell' art. 321 cpv. 1 lett. b CPC /TI (divieto di nova in sede di appello) - che non possono essere riviste dal Tribunale federale nella giurisdizione per riforma (cfr. art. 55 cpv. 1 lett. c OG). Anche su questo punto il ricorso si avvera quindi inammissibile.</w:t>
      </w:r>
    </w:p>
    <w:p>
      <w:r>
        <w:rPr>
          <w:b/>
        </w:rPr>
        <w:t>E. 6</w:t>
      </w:r>
    </w:p>
    <w:p>
      <w:r>
        <w:t>In conclusione, nella misura in cui è ammissibile il ricorso dev'essere respinto. Gli oneri processuali seguono la soccombenza ( art. 156 cpv. 1 OG ). L'attore - avvocato - ha stilato personalmente l'allegato di risposta con l'aiuto della praticante, la quale non è però ammessa come difensore nelle cause civili dinanzi al Tribunale federale ( art. 29 cpv. 2 OG ). Secondo la prassi, l'avvocato che agisce nella propria causa ha diritto alle ripetibili a patto che siano realizzate anche le ulteriori condizioni poste dalla giurisprudenza a tale indennità, in particolare quelle concernenti la complessità della vertenza, l'importo litigioso e il tempo consacrato alla tutela dei propri interessi ( DTF 125 II 518 consid. 5b con rinvii). In concreto, l'assegnazione di un'adeguata indennità per ripetibili della sede federale appare giustificata.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