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4C.115/2004 vom 16. Juni 2004</w:t>
      </w:r>
    </w:p>
    <w:p>
      <w:r>
        <w:t>Bundesgericht, 2004-06-16, DE</w:t>
      </w:r>
    </w:p>
    <w:p>
      <w:r>
        <w:rPr>
          <w:b/>
        </w:rPr>
        <w:t xml:space="preserve">Quelle: </w:t>
      </w:r>
      <w:r>
        <w:t>https://mcp.opencaselaw.ch/entscheid/bger_4C.115_2004</w:t>
      </w:r>
    </w:p>
    <w:p>
      <w:r>
        <w:t>FR: TF 4C.115/2004 du 16 juin 2004</w:t>
      </w:r>
    </w:p>
    <w:p>
      <w:r>
        <w:t>IT: TF 4C.115/2004 del 16 giugno 2004</w:t>
      </w:r>
    </w:p>
    <w:p>
      <w:pPr>
        <w:pStyle w:val="Heading2"/>
      </w:pPr>
      <w:r>
        <w:t>Regeste</w:t>
      </w:r>
    </w:p>
    <w:p>
      <w:r>
        <w:t>Vertragsrecht</w:t>
      </w:r>
    </w:p>
    <w:p>
      <w:pPr>
        <w:pStyle w:val="Heading2"/>
      </w:pPr>
      <w:r>
        <w:t>Erwägungen</w:t>
      </w:r>
    </w:p>
    <w:p>
      <w:r>
        <w:rPr>
          <w:b/>
        </w:rPr>
        <w:t>E. 1</w:t>
      </w:r>
    </w:p>
    <w:p>
      <w:r>
        <w:t>Im Berufungsverfahren hat das Bundesgericht seiner Entscheidung die tatsächlichen Feststellungen der Vorinstanz zugrunde zu legen, es sei denn, sie beruhten auf einem offensichtlichen Versehen, seien unter Verletzung bundesrechtlicher Beweisvorschriften zustande gekommen oder bedürften der Ergänzung, weil das kantonale Gericht in fehlerhafter Rechtsanwendung einen gesetzlichen Tatbestand nicht oder nicht hinreichend klärte, obgleich ihm die entscheidwesentlichen Behauptungen und Beweisanträge rechtzeitig und in der vorgeschriebenen Form unterbreitet wurden ( Art. 63 und 64 OG ; BGE 127 III 248 E. 2c; 125 III 193 E. 1e S. 205). Blosse Kritik an der Beweiswürdigung des kantonalen Gerichts kann mit Berufung nicht vorgetragen werden ( BGE 127 III 73 E. 6a; 126 III 10 E. 2b S. 12 f.; 119 II 84 E. 3; 118 II 365 E. 1). Die Beklagte hat die beweisrechtlichen Feststellungen der Vorinstanz erfolglos mit staatsrechtlicher Beschwerde angefochten. Darauf ist nicht zurückzukommen. Wenn sie daher der rechtlichen Beurteilung der Streitsache im Berufungsverfahren einen von den Feststellungen des Obergerichts abweichenden oder erweiterten Sachverhalt zu Grunde legt, ist sie nur zu hören, soweit sie sich auf eine der genannten Ausnahmen beruft, die dem Bundesgericht eine Überprüfung der tatsächlichen Feststellungen des Sachgerichts erlauben.</w:t>
      </w:r>
    </w:p>
    <w:p>
      <w:r>
        <w:rPr>
          <w:b/>
        </w:rPr>
        <w:t>E. 2</w:t>
      </w:r>
    </w:p>
    <w:p>
      <w:r>
        <w:t>Die Beklagte rügt, die Vorinstanz habe sich bei der Beantwortung der Frage, ob zwischen den Parteien eine Vereinbarung über eine Beteiligung der Klägerin an den Provisionen für die vermittelten Versicherungsverträge zustande gekommen sei, auf den unzutreffenden Standpunkt gestellt, dass eine allfällige Branchenusanz, nach der Provisionszahlungen nur bei Vorliegen eines schriftlichen Zusammenarbeitsvertrages zwischen Broker und Co-Broker ausgerichtet würden, nur mangels anderweitiger vertraglicher Abreden zur Lückenfüllung beachtlich sei. Die Vorinstanz habe übersehen, dass die Usanz auch bei der Auslegung der Willenserklärungen der Parteien nach Treu und Glauben zu berücksichtigen sei. Ziel der Vertragsauslegung ist es, in erster Linie den übereinstimmenden wirklichen Willen der Parteien festzustellen (vgl. Art. 18 Abs. 1 OR ). Die Beklagte verkennt mit ihrer Rüge, dass die Vorinstanz aufgrund ihrer Beweiswürdigung festgestellt hat, dass die Parteien eine erfolgsabhängige Beteiligung der Klägerin an den Provisionen für von ihr vermittelte Versicherungspolicen vereinbart haben. An diese Feststellung über das Bestehen eines wirklichen übereinstimmenden Parteiwillens, hinsichtlich der die Beklagte keine substanziierte Sachverhaltsrüge nach Art. 63 Abs. 2 und Art. 64 OG erhebt, ist das Bundesgericht im Berufungsverfahren gebunden ( BGE 126 III 119 E. 2a, 375 E. 2e/aa S. 379 f.; 121 III 118 E. 4b/aa S. 123, je mit Hinweisen). Für eine Auslegung der Willenserklärungen nach dem Vertrauensprinzip zur Ermittlung eines normativen Konsenses unter Berücksichtigung der behaupteten Usanz besteht damit von vornherein kein Raum (vgl. BGE 86 II 258 ; ferner: BGE 130 III 66 E. 3.2; 127 III 248 E. 3f S.255, 444 E. 1b; 126 III 119 E. 2a S. 120; 105 II 16 E. 3c, je mit Hinweisen ). Eine Bundesrechtsverletzung fällt insoweit ausser Betracht und auf die Berufung ist diesbezüglich nicht einzutreten.</w:t>
      </w:r>
    </w:p>
    <w:p>
      <w:r>
        <w:rPr>
          <w:b/>
        </w:rPr>
        <w:t>E. 3</w:t>
      </w:r>
    </w:p>
    <w:p>
      <w:r>
        <w:t>Die Beklagte rügt weiter, die Vorinstanz habe Bundesrecht verletzt, indem sie das Verhältnis zwischen den Parteien als Mäklervertrag qualifiziert und die Tätigkeit der Klägerin nicht den Regeln der Geschäftsanmassung im Sinne von Art. 423 OR oder allenfalls des unentgeltlichen einfachen Auftrages ( Art. 394 OR ) unterstellt habe. Sie legt ihren Ausführungen dazu indessen in verschiedenen Punkten nicht den von der Vorinstanz verbindlich festgestellten Sachverhalt zugrunde, sondern weicht von diesem unter Erhebung frei gehaltener Kritik an der Beweiswürdigung im angefochtenen Urteil ab, ohne insoweit eine Ausnahme von der Sachverhaltsbindung im Sinne von Art. 63 Abs. 2 und Art. 64 OG geltend zu machen. Ausserdem übergeht sie auch in diesem Zusammenhang die verbindliche vorinstanzliche Feststellung, dass die Parteien tatsächlich eine Beteiligung der Klägerin an den Provisionen für die von ihr vermittelten Versicherungsverträge vereinbart haben, was eine Unterstellung der Tätigkeit der Klägerin unter die Regeln des unentgeltlichen Auftrags oder der Geschäftsanmassung offensichtlich ausschliesst. Auf die Rüge ist daher nicht einzutreten.</w:t>
      </w:r>
    </w:p>
    <w:p>
      <w:r>
        <w:rPr>
          <w:b/>
        </w:rPr>
        <w:t>E. 4</w:t>
      </w:r>
    </w:p>
    <w:p>
      <w:r>
        <w:t>Die Vorinstanz hielt fest, es sei nicht davon auszugehen, dass die Klägerin sich zu keinem Zeitpunkt für eine wirkliche Zusammenarbeit mit der Beklagten interessiert habe und einzig deren Know-how habe ausnutzen wollen. Sie verneinte unter anderem gestützt auf diese Feststellung, dass die Klägerin der Beklagten nach dem Scheitern der Verhandlungen über eine längerfristige Zusammenarbeit aus culpa in contrahendo hafte. Die Beklagte macht geltend, die Vorinstanz habe eine Haftung aus culpa in contrahendo zu Unrecht verneint. Sie bringt dazu sinngemäss vor, die Klägerin habe die Zusammenarbeit aus fadenscheinigen Gründen abgebrochen und nicht offen gelegt, dass sie von vornherein nicht an einer Zusammenarbeit mit der Beklagten als Co-Brokerin interessiert sei. Auch insoweit weicht sie von den vorinstanzlichen Sachverhaltsfeststellungen ab, ohne eine Ausnahme von der Bindung des Bundesgerichts an diese zu substanziieren. Auf die Berufung kann auch in diesem Punkt nicht eingetreten werden.</w:t>
      </w:r>
    </w:p>
    <w:p>
      <w:r>
        <w:rPr>
          <w:b/>
        </w:rPr>
        <w:t>E. 5</w:t>
      </w:r>
    </w:p>
    <w:p>
      <w:r>
        <w:t>Ist nach dem Dargelegten auf die Berufung nicht einzutreten, wird die Beklagte für das Verfahren vor Bundesgericht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