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4C.114/2005 vom 4. August 2005</w:t>
      </w:r>
    </w:p>
    <w:p>
      <w:r>
        <w:t>Bundesgericht, 2005-08-04, DE</w:t>
      </w:r>
    </w:p>
    <w:p>
      <w:r>
        <w:rPr>
          <w:b/>
        </w:rPr>
        <w:t xml:space="preserve">Quelle: </w:t>
      </w:r>
      <w:r>
        <w:t>https://mcp.opencaselaw.ch/entscheid/bger_4C.114_2005</w:t>
      </w:r>
    </w:p>
    <w:p>
      <w:r>
        <w:t>FR: TF 4C.114/2005 du 4 août 2005</w:t>
      </w:r>
    </w:p>
    <w:p>
      <w:r>
        <w:t>IT: TF 4C.114/2005 del 4 agosto 2005</w:t>
      </w:r>
    </w:p>
    <w:p>
      <w:pPr>
        <w:pStyle w:val="Heading2"/>
      </w:pPr>
      <w:r>
        <w:t>Regeste</w:t>
      </w:r>
    </w:p>
    <w:p>
      <w:r>
        <w:t>Arbeitsvertrag; fristlose Entlassung | Vertragsrecht</w:t>
      </w:r>
    </w:p>
    <w:p>
      <w:pPr>
        <w:pStyle w:val="Heading2"/>
      </w:pPr>
      <w:r>
        <w:t>Erwägungen</w:t>
      </w:r>
    </w:p>
    <w:p>
      <w:r>
        <w:rPr>
          <w:b/>
        </w:rPr>
        <w:t>E. 1</w:t>
      </w:r>
    </w:p>
    <w:p>
      <w:r>
        <w:t>Der angefochtene Endentscheid ist berufungsfähig, da er eine Zivilrechtsstreitigkeit mit einem Streitwert von über Fr. 8'000.-- betrifft und er mit keinem ordentlichen kantonalen Rechtsmittel angefochten werden kann ( Art. 46 und Art. 48 Abs. 1 OG ). Auf die form- und fristgerechte Berufung ist daher grundsätzlich einzutreten.</w:t>
      </w:r>
    </w:p>
    <w:p>
      <w:r>
        <w:rPr>
          <w:b/>
        </w:rPr>
        <w:t>E. 2.1</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Eine fristlose Entlassung ist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zu einer derartigen Zerstörung oder Erschütterung des gegenseitigen Vertrauens geführt haben. Sind die Verfehlungen weniger schwerwiegend, so müssen sie trotz Verwarnung wiederholt vorgekommen sein ( BGE 129 III 380 E. 2.1 S. 382 mit Hinweisen). In der Rechtsprechung ist anerkannt, dass Straftaten, welche der Arbeitnehmer im Rahmen seiner Arbeitstätigkeit oder auch im Privatleben zu Lasten der Mitarbeiter, des Arbeitgebers, aber auch von Kunden oder Dritten begeht, einen wichtigen Grund für eine fristlose Entlassung ohne vorgängige Verwarnung bilden können. Allerdings kommt es auch in diesen Fällen massgebend auf die Umstände und insbesondere die Schwere der Straftat an (Urteil des Bundesgerichts 4C.112/2002 vom 8. Oktober 2002 E. 5). So ist die Fortführung des Arbeitsverhältnisses nach einer ernst zu nehmenden Todesdrohung eines Arbeitnehmers gegenüber einem Arbeitskollegen nicht mehr zumutbar ( BGE 127 III 351 E. 4b/dd S. 355 ff.). Auch Diebstähle zu Lasten des Arbeitgebers stellen in der Regel einen wichtigen Grund zur Kündigung dar (Urteil des Bundesgerichts 4C.103/1999 vom 9. August 1999 E. 1, publ. in Pra 2000, Nr. 11, S. 56 ff.). Bei der Gewichtung einer Pflichtverletzung ist bei Kaderpersonen auf Grund des ihnen entgegengebrachten besonderen Vertrauens und der Verantwortung, welche ihnen ihre Funktion im Betrieb überträgt, ein strenger Massstab anzulegen ( BGE 130 III 28 E. 4.1 S. 31; 127 III 86 E. 2b S. 89). So hat das Bundesgericht bei einem Arbeitnehmer, der insbesondere als Personalleiter eine Vertrauensposition im Betrieb innehatte, eine Täuschung des Arbeitgebers durch das wahrheitswidrige Herstellen von Dokumenten für die Buchhaltung als wichtigen Grund zur fristlosen Kündigung qualifiziert ( BGE 124 III 25 E. 3a S. 27 f.). Ein solcher Grund wurde auch bei einer mehrfachen Manipulation der Stempelkarte durch eine Kaderperson mit gleitender Arbeitszeit bejaht, zumal der Arbeitnehmer über die Sanktion im Falle der Zuwiderhandlung informiert worden war (Urteil des Bundesgerichts 4C.149/2002 vom 12. August 2002 E. 1.2 und 1.3). Das Kantonsgericht Jura nahm in einem Entscheid vom 12. September 1983 an, ein Arbeitnehmer, der sowohl mündlich als auch schriftlich wegen der Nichtbeachtung der Arbeitszeit, ungerechtfertigten Abwesenheiten und des Unterlassens des Stempelns verwarnt worden war, habe einen wichtigen Grund zur Kündigung gesetzt, indem er während der Abwesenheit seines Vorgesetzten einstempelte, dann die Arbeitsstelle ohne auszustempeln für vier Stunden verliess, um danach zum Geschäft zurückzukehren und auszustempeln, ohne gearbeitet zu haben (JAR 1984 S. 190 ff.).</w:t>
      </w:r>
    </w:p>
    <w:p>
      <w:r>
        <w:rPr>
          <w:b/>
        </w:rPr>
        <w:t>E. 2.2</w:t>
      </w:r>
    </w:p>
    <w:p>
      <w:r>
        <w:t>Das Obergericht verneinte das Vorliegen eines wichtigen Grundes im Sinne von Art. 337 OR . Zur Begründung führte das Obergericht unter Berufung auf den erwähnten Entscheid des Kantonsgerichts Jura an, objektiv könne eine Stempelkartenmanipulation im Zusammenhang mit früheren Verspätungen und ungerechtfertigten Absenzen, die erfolglos abgemahnt worden sind, die fristlose Entlassung des fehlbaren Arbeitnehmers rechtfertigen. Im vorliegenden Fall gehe jedoch aus dem Arbeitszeugnis der Beklagten klar hervor, dass der Kläger bis zur ihm vorgeworfenen Manipulation der Stempeluhr zur vollsten Zufriedenheit der Beklagten gearbeitet habe. Weitere Verfehlungen, allenfalls Abmahnungen, seien nicht bekannt und würden von der Beklagten nicht geltend gemacht. Angesichts des klaren Wortlauts des Arbeitszeugnisses sei es für die Beklagte nach Treu und Glauben zumutbar gewesen, das Arbeitsverhältnis mindestens bis zum nächsten ordentlichen Kündigungstermin fortzusetzen. Die fristlose Auflösung des Arbeitsverhältnisses habe nicht als einziger Ausweg erscheinen können. Dies auch in Anbetracht der Betriebsgrösse der Beklagten mit mehreren 100 Mitarbeitern. Daran vermöge nichts zu ändern, dass der Kläger als Schichtführer eine höhere Verantwortung als ein gewöhnlicher Arbeitnehmer gehabt habe. Angesichts der Höhe des Lohnes und der Aufgaben und Kompetenzen sei seine Funktion nicht als Kaderposition im Sinne der Rechtsprechung und Lehre zu verstehen. Bei dem Kläger sei daher auf Grund seiner Funktion als Schichtführer in Bezug auf die Treuepflicht kein wesentlich strengerer Beurteilungsmassstab als bei einem gewöhnlichen Mitarbeiter anzuwenden. Auch seine Funktion als Personalvertreter führe nicht dazu, dass ihm gegenüber der Beklagten ein erhöhter Treue- und Sorgfaltsmassstab anzuwenden wäre.</w:t>
      </w:r>
    </w:p>
    <w:p>
      <w:r>
        <w:rPr>
          <w:b/>
        </w:rPr>
        <w:t>E. 2.3</w:t>
      </w:r>
    </w:p>
    <w:p>
      <w:r>
        <w:t>Die Beklagte rügt, das Obergericht habe zu Unrecht einen wichtigen Grund im Sinne von Art. 337 OR verneint. Zur Begründung führt die Beklagte dem Sinne nach an, wer eine Stempeluhr manipuliere, fälsche eine Urkunde und begehe damit eine Straftat, welche die zentrale Leistungspflicht des Arbeitnehmers betreffe. Eine solche Straftat genüge daher zur Rechtfertigung einer fristlosen Kündigung. Dies müsse insbesondere bezüglich des Klägers gelten, weil er die Manipulation kraft seiner Autorität als Vorgesetzter angeordnet und er damit das in ihn gesetzte Vertrauen missbraucht habe. Aus diesem Grund stelle seine Straftat eine besonders schwere Verfehlung im Sinne der bundesgerichtlichen Rechtsprechung dar. Daran vermöge entgegen der Ansicht des Obergerichts der Umstand, dass die Beklagte über 100 Mitarbeiter beschäftige, nichts zu ändern. Das Obergericht verkenne, dass die Betriebsgrösse in Bezug auf die Frage, ob die Vertrauensbasis zerstört ist, kein sachlich gerechtfertigtes Kriterium sei.</w:t>
      </w:r>
    </w:p>
    <w:p>
      <w:r>
        <w:rPr>
          <w:b/>
        </w:rPr>
        <w:t>E. 2.4</w:t>
      </w:r>
    </w:p>
    <w:p>
      <w:r>
        <w:t>Über das Vorhandensein wichtiger Gründe entscheidet das Gericht nach seinem Ermessen ( Art. 337 Abs. 3 OR ). Es hat dabei alle Umstände des Einzelfalls, namentlich die Stellung und Verantwortung des Arbeitnehmers und die Natur und Dauer des Arbeitsverhältnisses zu berücksichtigen ( BGE 116 II 145 E. 6a S. 150; 130 III 28 E. 4.1 S. 32).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wenn sich diese als offensichtlich unbillig, als in stossender Weise ungerecht erweisen ( BGE 129 III 380 E. 2 S. 382; 130 III 28 E. 4.1 S. 32).</w:t>
      </w:r>
    </w:p>
    <w:p>
      <w:r>
        <w:rPr>
          <w:b/>
        </w:rPr>
        <w:t>E. 2.5</w:t>
      </w:r>
    </w:p>
    <w:p>
      <w:r>
        <w:t>Mit der Beklagten ist davon auszugehen, dass eine Stempeluhrmanipulation an sich einen schwerwiegenden Verstoss gegen die Treuepflicht des Arbeitnehmers darstellt. Dieser Verstoss wird im vorliegenden Fall jedoch dadurch relativiert, dass sich der Kläger während der mehrjährigen Dauer des Arbeitsverhältnisses durch gute Leistungen und ein korrektes Verhalten ausgewiesen hat und es sich damit bei der ihm vorgeworfenen Stempeluhrmanipulation um ein einmaliges Fehlverhalten handelte, welches aus einem bestimmten Anlass (Schiedsrichterfunktion bei einem Fussballspiel) erfolgte. Zwar trifft es zu, dass die Beklagte dem Kläger als Schichtführer ein grösseres Vertrauen entgegenbrachte als einem gewöhnlichen Arbeiter. Zu beachten ist jedoch, dass der Kläger keine Kaderposition mit erheblicher Verantwortung innehatte. Zudem betraf das ihm entgegengebrachte Vertrauen nicht speziell seine Arbeitszeit, da mit ihm keine gleitende Arbeitszeit vereinbart wurde. Damit war die Kontrolle der Arbeitspräsenz des Klägers ohne erheblichen Aufwand möglich, zumal er in einem grösseren Betrieb arbeitete und er wiederum einem direkten Vorgesetzten unterstellt war. Insoweit und auch bezüglich der Möglichkeit, den Kläger betriebsintern zu versetzen, konnte das Obergericht bei der Beurteilung der Frage, ob für die Beklagte die Weiterbeschäftigung des Klägers bis zum nächsten Kündigungstermin zumutbar war, die Betriebsgrösse berücksichtigen, ohne Bundesrecht zu verletzen. Schliesslich ist zu beachten, dass im Betrieb der Beklagten gemäss den Feststellungen des Amtsgerichts offenbar zum Teil Stempelkartenmanipulationen toleriert wurden. Unter diesen Umständen hat das Obergericht das ihm gemäss Art. 337 Abs. 3 OR eingeräumte Ermessen nicht überschritten, wenn es annahm, die einmalige durch den Kläger veranlasste Manipulation der Stempeluhr habe nach Treu und Glauben keinen wichtigen Grund zur fristlosen Kündigung im Sinne von Art. 337 Abs. 1 OR gebildet.</w:t>
      </w:r>
    </w:p>
    <w:p>
      <w:r>
        <w:rPr>
          <w:b/>
        </w:rPr>
        <w:t>E. 3</w:t>
      </w:r>
    </w:p>
    <w:p>
      <w:r>
        <w:t>Da gemäss der vorstehenden Erwägung ein objektiv wichtiger Grund zur fristlosen Kündigung fehlt, ist unerheblich, ob die Beklagte subjektiv tatsächlich von der Unzumutbarkeit der Weiterführung des Arbeitsverhältnisses ausgegangen ist. Der Annahme des Obergerichts, dies sei auf Grund des Arbeitszeugnisses zu verneinen, kommt daher keine entscheiderhebliche Bedeutung zu. Auf die dagegen gerichtete Rüge der Beklagten, mit der sie dem Sinne nach geltend macht, das Obergericht habe übersehen, dass sie im Arbeitszeugnis auf die fristlose Auflösung des Arbeitsverhältnisses hingewiesen habe, ist daher mangels Rechtsschutzinteresses nicht einzutreten.</w:t>
      </w:r>
    </w:p>
    <w:p>
      <w:r>
        <w:rPr>
          <w:b/>
        </w:rPr>
        <w:t>E. 4</w:t>
      </w:r>
    </w:p>
    <w:p>
      <w:r>
        <w:t>Die Höhe der dem Kläger zugesprochenen Beträge war bereits vor Obergericht nicht mehr umstritten, weshalb sich Ausführungen dazu erübrigen.</w:t>
      </w:r>
    </w:p>
    <w:p>
      <w:r>
        <w:rPr>
          <w:b/>
        </w:rPr>
        <w:t>E. 5</w:t>
      </w:r>
    </w:p>
    <w:p>
      <w:r>
        <w:t>Nach dem Gesagten ist die Berufung abzuweisen, soweit darauf einzutreten ist. Da der massgebende Streitwert Fr. 30'000.- nicht übersteigt, ist das Verfahren kostenlos ( Art. 343 OR ). Die Beklagte hat indes den Kläger dem Prozessausgang entsprechend für das bundesgerichtliche Verfahren zu entschädigen ( Art. 159 Abs. 2 OG ; BGE 122 III 495 E. 4; 115 II 30 E. 5c S.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