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4C.112/2001 vom 14. Juni 2001</w:t>
      </w:r>
    </w:p>
    <w:p>
      <w:r>
        <w:t>Bundesgericht, 2001-06-14, FR</w:t>
      </w:r>
    </w:p>
    <w:p>
      <w:r>
        <w:rPr>
          <w:b/>
        </w:rPr>
        <w:t xml:space="preserve">Quelle: </w:t>
      </w:r>
      <w:r>
        <w:t>https://mcp.opencaselaw.ch/entscheid/bger_4C.112_2001</w:t>
      </w:r>
    </w:p>
    <w:p>
      <w:r>
        <w:t>FR: TF 4C.112/2001 du 14 juin 2001</w:t>
      </w:r>
    </w:p>
    <w:p>
      <w:r>
        <w:t>IT: TF 4C.112/2001 del 14 giugno 2001</w:t>
      </w:r>
    </w:p>
    <w:p>
      <w:pPr>
        <w:pStyle w:val="Heading2"/>
      </w:pPr>
      <w:r>
        <w:t>Regeste</w:t>
      </w:r>
    </w:p>
    <w:p>
      <w:r>
        <w:t>Assurance responsabilité civile</w:t>
      </w:r>
    </w:p>
    <w:p>
      <w:pPr>
        <w:pStyle w:val="Heading2"/>
      </w:pPr>
      <w:r>
        <w:t>Erwägungen</w:t>
      </w:r>
    </w:p>
    <w:p>
      <w:r>
        <w:rPr>
          <w:b/>
        </w:rPr>
        <w:t>E. 1</w:t>
      </w:r>
    </w:p>
    <w:p>
      <w:r>
        <w:t>a) La cour cantonale a fait application de l' art. 60 al. 2 CO , qui prévoit que si les dommages-intérêts dérivent d'un acte punissable soumis par les lois pénales à une prescription de plus longue durée qu'un an, cette prescription s'applique à l'action civile. Constatant que le défendeur a été reconnu coupable de lésions corporelles graves, au sens de l' art. 125 al. 2 CP , pour les mêmes faits que ceux de la présente cause, et que pour un tel délit l'action pénale se prescrit par cinq ans ( art. 70 CP ), la cour a appliqué ce délai de cinq ans à l'action en cours. Elle a retenu que, contrairement à l'avis du défendeur, aucune durée supérieure à ce délai est restée ininterrompue et jugé que l'action du demandeur n'était pas prescrite. b) Le défendeur reproche à la cour cantonale la violation des articles 60 al. 2, 127 et 138 CO relatifs à la prescription. Il fait valoir qu'après l'ouverture d'action, le 13 juin 1997, l'instruction de la cause a été déclarée close en date du 1er juillet 1999 et que, jusqu'à la citation du Tribunal cantonal du 23 novembre 2000, il n'y a eu aucune décision judiciaire, lettre ou requête de la partie demanderesse. Le dossier serait donc resté en suspens près de 17 mois. Le défendeur relève que la jurisprudence tant fédérale ( ATF 75 II 227 ) que cantonale (RVJ 1985 p. 135/139) a examiné le fondement de l' art. 134 CO et en a déduit que la suspension de la prescription devait être limitée aux cas énumérés par la loi. Le défendeur invoque aussi l' ATF 123 II 214 /216 consid. 3 (recte: ATF 123 III 213 consid. 3 p. 216), qui pose que "selon le droit fédéral, la prescription court aussi pour les créances prescriptibles durant les procédures judiciaires pendantes, à moins que l'un des états de fait décrits à l' art. 134 CO ne soit réalisé". Pour le défendeur, la prescription, qu'elle soit pénale ou civile, aurait commencé à courir dès le dépôt du mémoire-demande le 13 juin 1997 et serait soumise aux règles ordinaires des art. 135 et 138 CO . Toute autre interprétation de la prescription serait contraire au droit fédéral. c) La cour cantonale a correctement appliqué les art. 135 et 138 CO . Chaque acte interruptif de la prescription a fait courir un nouveau délai de prescription, lequel est bien de cinq ans en l'espèce, en application de l' art. 60 al. 2 CO . De plus, la durée de cinq ans ne s'est jamais écoulée entre deux actes interruptifs. Comme l'on ne se trouve pas dans un cas d'empêchement ou de suspension, prévu à l' art. 134 CO , l'invocation par le défendeur de la jurisprudence se rapportant à cette disposition est aussi vaine que déplacée. On ne peut que se rallier aux motifs complets et pertinents développés par la cour cantonale dans le jugement atttaqué (p. 19-21).</w:t>
      </w:r>
    </w:p>
    <w:p>
      <w:r>
        <w:rPr>
          <w:b/>
        </w:rPr>
        <w:t>E. 2</w:t>
      </w:r>
    </w:p>
    <w:p>
      <w:r>
        <w:t>a) La cour cantonale n'a pas suivi le défendeur, qui estimait que les rentes allouées au demandeur par X.________ devaient être déduites de la prétention en dommages-intérêts, parce que les assurances additionnelles en cause ne constituaient pas des assurances de sommes. Elle a retenu que, selon l' art. 96 LCA , dans l'assurance de personnes, les droits que l'ayant droit aurait contre des tiers en raison du sinistre ne passent pas à l'assureur, et qu'en conséquence, dans l'assurance contre les accidents, lorsque les prestations relèvent de l'assurance de personnes, c'est-à-dire lorsque l'on est en présence d'une assurance de sommes, l'assureur n'est pas subrogé aux droits de l'ayant droit contre le tiers responsable. Il en résulte que l'ayant droit peut cumuler les prestations de l'assurance accidents avec celles qui lui sont dues par le tiers. Constatant que les polices d'assurance liant le demandeur à X.________, au vu des conditions générales d'assurance, portent sur des promesses en capital, indépendantes du montant effectif du préjudice subi par le preneur ou l'ayant droit, et que lesdites polices ont fixé d'avance le montant des prestations, la cour cantonale a jugé qu'elles relèvent des assurances de personnes et, partant, qu'elles sont des assurances de sommes. Dès lors, la règle découlant de l' art. 96 LCA , qui consacre le cumul des prétentions d'assurances, leur est applicable. b) Le défendeur se réfère à l'arrêt Contacta AG ( ATF 104 II 44 ) et à des avis de doctrine selon lesquels l'assurance contre les accidents serait une assurance contre les dommages. A ses yeux, le Tribunal cantonal ferait fi de la jurisprudence du Tribunal fédéral et l'ignorerait délibérément, violant ainsi les art. 72 et 96 LCA . c) Le Tribunal cantonal a correctement appliqué les règles posées par la jurisprudence et adoptées par la doctrine, distinguant entre l'assurance de personnes (ou assurance de sommes) et l'assurance contre les dommages. L'assurance de personnes se caractérise en effet, par rapport à l'assurance contre les dommages, par sa nature non indemnitaire; elle est une promesse de capital, indépendante du montant effectif du préjudice subi par l'ayant droit. En application de l' art. 96 LCA , qui dispose que les droits que l'ayant droit aurait contre des tiers ne passent pas à l'assureur, l'ayant droit peut cumuler des prétentions contre l'assureur de personnes et le responsable du sinistre (Viret, Droit des assurances privées, 3ème éd., p. 153). En l'espèce, au vu des conditions générales régissant les assurances additionnelles conclues par le demandeur avec X.________, on est manifestement en présence d'assurances de personnes, puisque ces assurances prévoient le versement de montants fixes arrêtés en fonction de l'incapacité de gain et non pas de la perte de gain effective ou du dommage subi par l'assuré. Cette manière de voir est en tous points conforme à la jurisprudence ( ATF 119 II 361 consid. 4; 104 II 44 consid. 4d) et à l'avis de la doctrine (Entre autres: Brehm, L'assurance privée contre les accidents, p. 38 ss; Maurer, Schweizerisches Privatversicherungsrecht, 1995, p. 411-412; Kuhn/Montavon, Droit des assurances privées, p. 85-86; Zen-Ruffinen, La perte de soutien, p. 151-152). A nouveau, sur ce moyen, on peut se rallier entièrement aux motifs du jugement attaqué (p. 22-24).</w:t>
      </w:r>
    </w:p>
    <w:p>
      <w:r>
        <w:rPr>
          <w:b/>
        </w:rPr>
        <w:t>E. 3</w:t>
      </w:r>
    </w:p>
    <w:p>
      <w:r>
        <w:t>Le recours, manifestement mal fondé, ne peut qu'être rejeté. Le défendeur supportera l'émolument judiciaire ( art. 156 al. 1 OJ ). Il n'y a pas lieu d'allouer des dépens au demandeur qui n'a pas eu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