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4C.109/2005 vom 31. Mai 2005</w:t>
      </w:r>
    </w:p>
    <w:p>
      <w:r>
        <w:t>Bundesgericht, 2005-05-31, FR</w:t>
      </w:r>
    </w:p>
    <w:p>
      <w:r>
        <w:rPr>
          <w:b/>
        </w:rPr>
        <w:t xml:space="preserve">Quelle: </w:t>
      </w:r>
      <w:r>
        <w:t>https://mcp.opencaselaw.ch/entscheid/bger_4C.109_2005</w:t>
      </w:r>
    </w:p>
    <w:p>
      <w:r>
        <w:t>FR: TF 4C.109/2005 du 31 mai 2005</w:t>
      </w:r>
    </w:p>
    <w:p>
      <w:r>
        <w:t>IT: TF 4C.109/2005 del 31 maggio 2005</w:t>
      </w:r>
    </w:p>
    <w:p>
      <w:pPr>
        <w:pStyle w:val="Heading2"/>
      </w:pPr>
      <w:r>
        <w:t>Regeste</w:t>
      </w:r>
    </w:p>
    <w:p>
      <w:r>
        <w:t>contrat de travail; licenciement, discrimination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formé pour violation du droit fédéral ( art. 43 al. 1 OJ ), tandis qu'il ne permet pas de critiquer la violation directe d'un droit de rang constitutionnel ( art. 43 al. 1 2 e phrase OJ) ni celle du droit cantonal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pas être présenté de griefs contre les constatations de fait, ni de faits ou de moyens de preuve nouveaux ( art. 55 al. 1 let . c OJ). Le recours n'est pas ouvert pour se plaindre de l'appréciation des preuves et des constatations de fait qui en résultent ( ATF 130 III 102 consid. 2.2 in fine, 136 consid. 1.4; 129 III 618 consid. 3).</w:t>
      </w:r>
    </w:p>
    <w:p>
      <w:r>
        <w:rPr>
          <w:b/>
        </w:rPr>
        <w:t>E. 2</w:t>
      </w:r>
    </w:p>
    <w:p>
      <w:r>
        <w:t>Selon l'argumentation de la demanderesse, les juges d'appel ont commis une inadvertance manifeste dans l'analyse de son curriculum vitae et, en outre, en constatant que les employés de la défenderesse devaient fournir un décompte périodique de leurs heures supplémentaires, d'une part, et en constatant que ses propres heures supplémentaires avaient été compensées, d'autre part. Il y a inadvertance manifeste lorsque la juridiction cantonale omet de prendre connaissance d'une pièce déterminée, lit ce document de façon inexacte ou le comprend mal par une simple inattention ( ATF 115 II 399 consid. 2a; 109 II 159 consid. 2b). La demanderesse ne prétend pas qu'il existe une contradiction de ce genre entre les constatations qu'elle critique et certaines des pièces qui se trouvent au dossier. Sous le couvert du grief d'inadvertance manifeste, elle conteste simplement l'appréciation des preuves, ce qui est inadmissible à l'appui du recours en réforme. Sur plusieurs points, la demanderesse demande le complètement de l'état de fait. Elle méconnaît fondamentalement, par là, la portée de l' art. 64 OJ . Le complètement est nécessaire seulement s'il apparaît que la juridiction cantonale a appliqué le droit de façon incorrecte et que cela l'a conduite à ne pas élucider des faits qui, en réalité, sont importants pour le sort du litige. La demanderesse n'explique pas en quoi la Cour d'appel a appliqué de façon erronée certaines dispositions de droit fédéral, avec cette conséquence qu'elle n'aurait pas constaté des faits dont la connaissance est indispensable à la saine application de ces mêmes dispositions. Au contraire, la demande de complètement n'est pas motivée, de sorte qu'elle se résume à une critique irrecevable de la constatation des faits.</w:t>
      </w:r>
    </w:p>
    <w:p>
      <w:r>
        <w:rPr>
          <w:b/>
        </w:rPr>
        <w:t>E. 3</w:t>
      </w:r>
    </w:p>
    <w:p>
      <w:r>
        <w:t>Aux termes de l'art. 6 de la loi fédérale sur l'égalité entre femmes et hommes (LEg; RS 151.1), l'existence d'une discrimination en raison du sexe est présumée lorsque la personne qui s'en prévaut la rend vraisemblable. Sur la base de cette disposition et de l' art. 8 CC , la demanderesse critique le jugement selon lequel la discrimination dont elle se plaint n'a pas été rendue vraisemblable.</w:t>
      </w:r>
    </w:p>
    <w:p>
      <w:r>
        <w:rPr>
          <w:b/>
        </w:rPr>
        <w:t>E. 3.1</w:t>
      </w:r>
    </w:p>
    <w:p>
      <w:r>
        <w:t>Selon l' art. 8 CC , chaque partie doit, si la loi ne prescrit pas le contraire, prouver les faits qu'elle allègue pour en déduire son droit. L' art. 6 LEg déroge à cette règle générale; il prévoit un allégement de la preuve en ce sens qu'il suffit à la partie demanderesse de rendre vraisemblable une discrimination à caractère sexiste. Si elle y parvient, le fardeau de la preuve est renversé; il appartient alors à l'autre partie d'établir l'inexistence de la discrimination ( ATF 130 III 145 consid. 4.2 p. 161; 127 III 207 consid. 3b p. 212/213). Une différence de salaire entre n'importe quels travailleurs de sexe opposé n'est pas suffisante à entraîner ce renversement; en revanche, s'il s'agit de travailleurs ayant une position semblable dans l'entreprise, avec des cahiers de charges comparables, et qu'il y a une différence de rémunération entre eux, on présume que cette différence est de nature sexiste ( ATF 127 III 207 consid. 3b p. 213). La discrimination a ainsi été jugée vraisemblable dans le cas d'une différence de 15 à 25 pour cent pour la même activité. La discrimination est également vraisemblable lorsqu'une femme, présentant des qualifications équivalentes à celles de son prédécesseur de sexe masculin, est engagée à un salaire moins élevé que lui ( ATF 130 III 145 consid. 4.2 p. 162). Selon les constatations de la Cour d'appel, la demanderesse était chargée de mettre en oeuvre les relations publiques décidées par la direction. Elle devait communiquer à cette dernière les informations spécifiques du marché suisse, l'assister dans l'élaboration d'une politique tenant compte des contraintes locales et soutenir la direction commerciale dans ses contacts avec la clientèle. Ses missions principales portaient notamment sur le suivi de la vie sociale, les contacts avec la presse et les agences de publicité, et la tenue à jour d'un carnet d'adresse et d'une documentation adéquate. Il lui incombait d'assister à des réceptions ou à d'autres manifestations pouvant se terminer à des heures tardives. Dès son engagement en 1998, G.________ a assumé la responsabilité d'un produit, puis d'une marque dès 1999, et enfin celle du département "marketing" dès 2001, où il gérait un budget de 6'000'000 de fr. environ. La Cour d'appel considère que ces parcours professionnels ne peuvent pas être comparés, de sorte qu'une différence de salaire ne constitue pas l'indice convainquant d'une discrimination. La demanderesse n'explique pas en quoi cette appréciation devrait être tenue pour contraire au droit fédéral. Elle se borne à affirmer qu'elle était engagée, dès 1998, à un niveau hiérarchique plus élevé que celui de G.________, avec un salaire inférieur. Or, cette circonstance ne ressort pas de l'arrêt attaqué. La Cour d'appel n'a donc pas violé l' art. 6 LEg en retenant que la demanderesse n'a pas rendu vraisemblable, dans sa rémunération, une discrimination à caractère sexiste. Il ne lui était donc pas nécessaire de rechercher, sur la base des preuves offertes par la défenderesse, si les différences de salaire répondaient à des motifs objectifs.</w:t>
      </w:r>
    </w:p>
    <w:p>
      <w:r>
        <w:rPr>
          <w:b/>
        </w:rPr>
        <w:t>E. 3.2</w:t>
      </w:r>
    </w:p>
    <w:p>
      <w:r>
        <w:t>L'allégement prévu par l' art. 6 LEg concerne aussi la preuve d'un éventuel congé abusif. La demanderesse prétend avoir établi que depuis son entrée au service de la défenderesse, six femmes ont été licenciées ou ont quitté d'elles-mêmes l'entreprise, qu'elle a réclamé à plusieurs reprises l'égalité salariale, qu'elle s'est plainte de mobbing et qu'une autre femme a été engagée pour lui succéder. Les constatations correspondantes ne se trouvent cependant pas dans l'arrêt de la Cour d'appel. Hormis la plainte pour mobbing, la demanderesse n'établit pas qu'elle ait valablement allégué ces faits en procédure cantonale et elle n'indique pas non plus en quoi lesdits faits, à supposer qu'ils soient constatés, devraient être considérés comme les indices d'une discrimination. La Cour d'appel a jugé que le mobbing n'était pas prouvé et que le comportement peu diplomate de l'un des responsables de vente n'équivalait pas à un harcèlement. Elle en a déduit que la demanderesse ne pouvait pas élever de bonne foi le grief de mobbing, de sorte qu'un congé de représailles n'était pas non plus réalisé. Pour le surplus, selon des explications de la défenderesse que la Cour a jugées crédibles, la résiliation des rapports de travail, le 28 février 2002, répondait aux impératifs de l'intégration des relations publiques dans les services du marketing des filiales, décidée pour toutes les filiales après la reprise des activités de "V.________"; compte tenu que la demanderesse refusait d'être subordonnée à G.________, son licenciement était inévitable. Or, on ne discerne pas en quoi ce jugement devrait être tenu pour contraire au droit fédéral.</w:t>
      </w:r>
    </w:p>
    <w:p>
      <w:r>
        <w:rPr>
          <w:b/>
        </w:rPr>
        <w:t>E. 4</w:t>
      </w:r>
    </w:p>
    <w:p>
      <w:r>
        <w:t>La demanderesse reproche à la Cour d'appel d'avoir retenu, à la base de son prononcé, une définition incorrecte du mobbing et d'avoir ainsi violé l' art. 328 CO . Le mobbing, ou harcèlement psychologique, est prohibé par cette disposition de droit fédéral. Il se définit comme un enchaînement de propos 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faut cependant aussi garder à l'esprit que le mobbing peut n'être qu'imaginaire, sinon même être allégué abusivement pour tenter de se protéger contre des remarques ou mesures pourtant justifiées (arrêt 4C.343/2003 du 13 octobre 2004, consid. 3.1). A la lecture de l'arrêt attaqué, il n'apparaît pas que la Cour d'appel ait mis en oeuvre une notion différente du harcèlement psychologique. Cette autorité n'a simplement constaté aucun fait correspondant aux accusations élevées par la demanderesse. Ella a au contraire relevé, sur la base d'un témoignage, que l'on n'a jamais observé de comportements ou de réflexions grossiers à l'égard de cette partie. Cette constatation n'est aucunement contraire à 328 CO. Pour le surplus, il n'est pas établi que B.________, le supérieur direct de la demanderesse, ait refusé à celle-ci des informations nécessaires à l'accomplissement de son travail et la demanderesse ne prétend pas avoir allégué un tel fait en instance cantonale. Ses allégations selon lesquelles ses collègues auraient adopté un comportement caractéristique du mobbing sont irrecevables en instance de réforme. L'argumentation de la demanderesse, fondée sur des éléments qui ne répondent de toute façon pas à une définition valable du mobbing, ne met en cause que l'appréciation des preuves par la juridiction cantonale.</w:t>
      </w:r>
    </w:p>
    <w:p>
      <w:r>
        <w:rPr>
          <w:b/>
        </w:rPr>
        <w:t>E. 5</w:t>
      </w:r>
    </w:p>
    <w:p>
      <w:r>
        <w:t>Le recours en réforme se révèle privé de fondement, dans la mesure où les griefs présentés sont recevables. En vertu de l' art. 12 al. 2 LEg , le Tribunal fédéral ne perçoit pas d'émolument judiciaire dans les contestations portant sur une discrimination en raison du sexe dans les rapports de travail. Cette disposition sera appliquée dans la présente affaire alors même que le montant de la demande, qui détermine la valeur litigieuse selon l' art. 343 al. 2 CO , comprenait des prétentions en paiement d'heures supplémentaires qui excédaient le plafond de 30'000 fr. prévu par cette disposition et étaient dépourvues de rapport avec la discrimination alléguée par la demanderesse. A titre de partie qui succombe, celle-ci doit acquitter les dépens à allouer à l'autre partie. Il convient d'évaluer cette indemnité sur la base d'une valeur litigieuse de 500'000 fr. environ.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