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4C.108/2003 vom 1. Juli 2003</w:t>
      </w:r>
    </w:p>
    <w:p>
      <w:r>
        <w:t>Bundesgericht, 2003-07-01, FR</w:t>
      </w:r>
    </w:p>
    <w:p>
      <w:r>
        <w:rPr>
          <w:b/>
        </w:rPr>
        <w:t xml:space="preserve">Quelle: </w:t>
      </w:r>
      <w:r>
        <w:t>https://mcp.opencaselaw.ch/entscheid/bger_4C.108_2003</w:t>
      </w:r>
    </w:p>
    <w:p>
      <w:r>
        <w:t>FR: TF 4C.108/2003 du 1 juillet 2003</w:t>
      </w:r>
    </w:p>
    <w:p>
      <w:r>
        <w:t>IT: TF 4C.108/2003 del 1 luglio 2003</w:t>
      </w:r>
    </w:p>
    <w:p>
      <w:pPr>
        <w:pStyle w:val="Heading2"/>
      </w:pPr>
      <w:r>
        <w:t>Regeste</w:t>
      </w:r>
    </w:p>
    <w:p>
      <w:r>
        <w:t>Assurance responsabilité civile</w:t>
      </w:r>
    </w:p>
    <w:p>
      <w:pPr>
        <w:pStyle w:val="Heading2"/>
      </w:pPr>
      <w:r>
        <w:t>Erwägungen</w:t>
      </w:r>
    </w:p>
    <w:p>
      <w:r>
        <w:rPr>
          <w:b/>
        </w:rPr>
        <w:t>E. 1.1</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w:t>
      </w:r>
    </w:p>
    <w:p>
      <w:r>
        <w:rPr>
          <w:b/>
        </w:rPr>
        <w:t>E. 1.2</w:t>
      </w:r>
    </w:p>
    <w:p>
      <w:r>
        <w:t>La fixation du dommage ressortit en principe au juge du fait. Dire s'il y a eu dommage et quel en est la quotité est une question de fait qui lie le Tribunal fédéral en instance de réforme ( ATF 127 III 73 consid. 3c; 543 consid. 2b; ATF 126 III 388 consid. 8a et les arrêts cités). Saisi d'un recours en réforme, le Tribunal fédéral n'intervient que si l'autorité cantonale a méconnu la notion juridique du dommage ou s'est laissée guider par des critères erronés ( ATF 127 III 73 consid. 3c déjà cité; ATF 120 II 296 consid. 3b).</w:t>
      </w:r>
    </w:p>
    <w:p>
      <w:r>
        <w:rPr>
          <w:b/>
        </w:rPr>
        <w:t>E. 1.3</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La cour cantonale a procédé à juste titre à la substitution de partie, dans la mesure où les actifs et passifs de W.________ Assurances ont été repris par la société anonyme X.________ Assurances à Genève, après le sinistre et peu avant l'introduction de l'action en justice.</w:t>
      </w:r>
    </w:p>
    <w:p>
      <w:r>
        <w:rPr>
          <w:b/>
        </w:rPr>
        <w:t>E. 3</w:t>
      </w:r>
    </w:p>
    <w:p>
      <w:r>
        <w:t>La défenderesse soutient qu'il n'y a en l'état aucune atteinte à l'avenir économique de la demanderesse et aucun indice d'un quelconque dommage futur, étant donné que celle-ci ne subit aucune perte de gain actuelle, qu'elle n'a jamais déclaré vouloir exercer d'autre profession que celle de secrétaire ou d'employée de commerce et qu'elle a démontré sa flexibilité en assumant deux emplois en parallèle.</w:t>
      </w:r>
    </w:p>
    <w:p>
      <w:r>
        <w:rPr>
          <w:b/>
        </w:rPr>
        <w:t>E. 3.1</w:t>
      </w:r>
    </w:p>
    <w:p>
      <w:r>
        <w:t>Dans la mesure où l'argumentation de la défenderesse repose en partie sur des constatations de fait différentes de celles retenues par la cour cantonale, elle est irrecevable en instance de réforme (cf. supra, consid. 1.1).</w:t>
      </w:r>
    </w:p>
    <w:p>
      <w:r>
        <w:rPr>
          <w:b/>
        </w:rPr>
        <w:t>E. 3.2</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doit, autant que possible, être établi de manière concrète. Le juge partira du taux d'invalidité médicale ou théorique et recherchera ses effets sur la capacité de gain ou l'avenir économique du lésé ( ATF 129 III 135 consid. 2.2 p. 141 et les arrêts cités). Il examine pour cela la situation personnelle de l'intéressé, son métier et son avenir professionnel prévisible. Lorsque les effets de l'invalidité sur la capacité de gain ne peuvent être estimés avec une sûreté suffisante, le juge détermine le dommage équitablement en considération du cours ordinaire des choses ( art. 42 al. 2 CO ). Saisi d'un recours en réforme, le Tribunal fédéral peut examiner si l'autorité cantonale a fondé son appréciation sur des critères pertinents, si elle n'a pas omis ou au contraire pris en compte à tort certains éléments, et si le préjudice ne se trouve pas réduit en raison d'autres circonstances ( ATF 99 II 214 consid. 4a p. 218). Le fait que la victime d'un accident soit pleinement capable de travailler et obtienne un gain équivalent à celui qu'elle aurait réalisé sans l'accident n'exclut nullement qu'elle soit atteinte dans son avenir économique. En effet, d'autres facteurs que la capacité de travail sont susceptibles d'influer sur les possibilités de gain futur d'une personne invalide. Ainsi par exemple, une personne handicapée sera désavantagée sur le marché du travail car il lui sera plus difficile qu'à une personne valide de trouver et de conserver un emploi avec une rémunération identique; le risque de chômage se trouve également accru. L'infirmité peut aussi entraver un changement de profession ou réduire les perspectives de promotion dans l'entreprise, de même que contraindre l'intéressé à renoncer à s'associer en vue de créer une entreprise; l'atteinte peut également réduire les chances de mariage, pour autant que ce dernier améliore la situation économique de la personne concernée (arrêt 4C.223/1998 du 23 mars 1999 consid. 3b, partiellement publié in AJP/PJA 1999, p. 1472 et 1473; arrêt 4C.318/1990 du 22 mai 1991 consid. 2c, publié in SJ 1992, p. 6).</w:t>
      </w:r>
    </w:p>
    <w:p>
      <w:r>
        <w:rPr>
          <w:b/>
        </w:rPr>
        <w:t>E. 3.3</w:t>
      </w:r>
    </w:p>
    <w:p>
      <w:r>
        <w:t>Il résulte de l'état de fait déterminant que la demanderesse souffre d'ores et déjà d'arthrose tibio-astragalienne, qui implique actuellement une légère limitation de la mobilité de la cheville droite et des douleurs. A dire d'expert, cette situation va selon toute vraisemblance évoluer négativement à moyen ou à long terme, en raison d'une probable progression de l'arthrose, de telle sorte que de nouvelles interventions sur la cheville de la demanderesse doivent être prises en considération, avec leurs incidences sur la capacité de travail à ce moment-là. Aussi, la cour cantonale pouvait-elle, sans violer le droit fédéral, estimer que si la demanderesse n'éprouvait actuellement pas de difficultés professionnelles liées à son handicap, elle serait assurément limitée à l'avenir dans le choix de son activité professionnelle, en raison d'une moindre mobilité et d'une plus grande fatigabilité par rapport à une personne valide, aggravées par la présence de douleurs. Dans le cas particulier, le principe même d'une atteinte à l'avenir économique doit en conséquence être admis.</w:t>
      </w:r>
    </w:p>
    <w:p>
      <w:r>
        <w:rPr>
          <w:b/>
        </w:rPr>
        <w:t>E. 4</w:t>
      </w:r>
    </w:p>
    <w:p>
      <w:r>
        <w:t>Se référant à la jurisprudence relative à la fixation du taux d'atteinte à l'avenir économique, la défenderesse propose de le fixer à 5%, soit au tiers du taux d'invalidité médicale (cf. ATF 99 II 214 consid. 4d p. 220). La solution retenue par la Cour civile échappe à la critique, dans la mesure où elle a établi le taux de 8% en conformité avec la jurisprudence, qui reconnaît un large pouvoir d'appréciation à l'autorité cantonale, acceptant par exemple comme taux déterminant le 50% du taux d'invalidité médicale (cf. arrêt 4C.223/1998 du 23 mars 1999 consid. 5). La solution retenue doit également être confirmée au vu d'une possible évolution défavorable des lésions subies, qui porterait le taux d'invalidité médicale à 25%.</w:t>
      </w:r>
    </w:p>
    <w:p>
      <w:r>
        <w:rPr>
          <w:b/>
        </w:rPr>
        <w:t>E. 5.1</w:t>
      </w:r>
    </w:p>
    <w:p>
      <w:r>
        <w:t>En ce qui concerne le dommage de rente, l'évolution de la jurisprudence récente a été retracée à l' ATF 129 III 135 consid. 2.2 p. 142. Après avoir jugé que ce dommage devait être calculé en capitalisant les cotisations formatrices de rente versées par l'employeur ( ATF 113 II 345 consid. 1b/aa), le Tribunal fédéral a considéré qu'il était préférable de calculer désormais ce dommage de manière concrète, soit en comparant les rentes versées par les assurances sociales (AVS, LAA, LPP) avec les prestations AVS que le lésé aurait touchées sans l'accident. Cependant, lorsque le dommage de rente est calculé de la sorte, il y a lieu de prendre en considération le revenu net du lésé pour calculer le dommage de perte de gain jusqu'à l'âge présumé de la retraite. En effet, la prise en compte du revenu brut conduirait dans ce cas à une surindemnisation contraire à un principe essentiel du droit de la responsabilité civile ( ATF 129 III 135 consid. 2.2 p. 143). En l'espèce, la cour cantonale a estimé à juste titre qu'il était impossible de calculer de manière concrète le dommage de rente, étant donné que la demanderesse ne touchait pour l'instant aucune rente des assurances sociales et avait encore de nombreuses années d'activité professionnelle devant elle. Le calcul effectif se révélait également difficile en raison des aléas auxquels serait soumis le régime des assurances sociales avant que la demanderesse ne bénéficie de prestations de vieillesse. La cour cantonale a donc choisi de s'en tenir à une évaluation théorique du dommage de rente, fondée sur la participation patronale aux assurances sociales (selon la jurisprudence parue aux ATF 113 II 345 ). La cour cantonale est donc partie du salaire brut réalisé par la demanderesse durant l'année 2000, auquel elle a rajouté les cotisations patronales AVS et LPP; elle a ensuite capitalisé la perte de gain future annuelle, soit le 8% du revenu déterminant, en fonction de la table 20 de Stauffer/Schaetzle (4e éd.), en se fondant sur l'arrêt 4C.318/1990 du 22 mai 1990, publié à la SJ 1992 p. 4.</w:t>
      </w:r>
    </w:p>
    <w:p>
      <w:r>
        <w:rPr>
          <w:b/>
        </w:rPr>
        <w:t>E. 5.2</w:t>
      </w:r>
    </w:p>
    <w:p>
      <w:r>
        <w:t>La défenderesse soutient que la cour cantonale a violé le droit fédéral sur deux points. D'une part, en prenant comme base de calcul le revenu brut et non le revenu net de la demanderesse et, d'autre part, en capitalisant la perte de gain annuelle en fonction de la table 20 et non de la table 11 de Stauffer/Schaetzle (5e éd.). En l'espèce toutefois, il ne s'agit pas de réparation intégrale du dommage de rente mais du calcul d'un seul poste, soit celui de l'atteinte à l'avenir économique, consistant dans la perte d'une chance. A cet égard, le raisonnement fondé sur l'interdiction de la surindemnisation, impliquant la prise en considération, comme base de calcul, du revenu net ne revêt pas la même pertinence. Il ne s'agit en effet pas de replacer l'intéressée dans la situation qui était exactement la sienne avant l'événement dommageable, mais d'estimer à quel niveau, respectivement à quel montant, se situe l'atteinte à son avenir économique, équivalant à l'affaiblissement de la lésée dans sa vie professionnelle et sur le marché du travail. La référence au revenu net n'est donc pas décisive, de sorte que le calcul effectué par la cour cantonale conformément à la jurisprudence ( ATF 113 II 345 consid. 3b) peut être confirmé. Le choix de la table 20 de Stauffer/Schaetzle est également conforme à la jurisprudence ( ATF 123 III 115 consid. 6a p. 117).</w:t>
      </w:r>
    </w:p>
    <w:p>
      <w:r>
        <w:rPr>
          <w:b/>
        </w:rPr>
        <w:t>E. 6</w:t>
      </w:r>
    </w:p>
    <w:p>
      <w:r>
        <w:t>La défenderesse affirme enfin que l'on pourrait exiger de la demanderesse, si l'arthrose dont elle souffre venait à s'aggraver, qu'elle se soumette à une nouvelle intervention pour éviter la péjoration de sa capacité de gain future. Le grief, tel qu'il est formulé, est irrecevable, dans la mesure où la défenderesse ne soutient pas que l'arrêt attaqué viole le droit fédéral sur la question du devoir du lésé de réduire le dommage (cf. art. 55 al. 1 let . c OJ).</w:t>
      </w:r>
    </w:p>
    <w:p>
      <w:r>
        <w:rPr>
          <w:b/>
        </w:rPr>
        <w:t>E. 7</w:t>
      </w:r>
    </w:p>
    <w:p>
      <w:r>
        <w:t>Au vu de ce qui précède, le recours doit être rejeté et il appartiendra à la défenderesse,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