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4C.107/2004 vom 15. Juni 2004</w:t>
      </w:r>
    </w:p>
    <w:p>
      <w:r>
        <w:t>Bundesgericht, 2004-06-15, DE</w:t>
      </w:r>
    </w:p>
    <w:p>
      <w:r>
        <w:rPr>
          <w:b/>
        </w:rPr>
        <w:t xml:space="preserve">Quelle: </w:t>
      </w:r>
      <w:r>
        <w:t>https://mcp.opencaselaw.ch/entscheid/bger_4C.107_2004</w:t>
      </w:r>
    </w:p>
    <w:p>
      <w:r>
        <w:t>FR: TF 4C.107/2004 du 15 juin 2004</w:t>
      </w:r>
    </w:p>
    <w:p>
      <w:r>
        <w:t>IT: TF 4C.107/2004 del 15 giugno 2004</w:t>
      </w:r>
    </w:p>
    <w:p>
      <w:pPr>
        <w:pStyle w:val="Heading2"/>
      </w:pPr>
      <w:r>
        <w:t>Regeste</w:t>
      </w:r>
    </w:p>
    <w:p>
      <w:r>
        <w:t>Vertragsrecht</w:t>
      </w:r>
    </w:p>
    <w:p>
      <w:pPr>
        <w:pStyle w:val="Heading2"/>
      </w:pPr>
      <w:r>
        <w:t>Erwägungen</w:t>
      </w:r>
    </w:p>
    <w:p>
      <w:r>
        <w:rPr>
          <w:b/>
        </w:rPr>
        <w:t>E. 1</w:t>
      </w:r>
    </w:p>
    <w:p>
      <w:r>
        <w:t>Der Kläger ersucht in der Berufungsantwort gestützt auf Art. 150 OG um Sicherstellung der Gerichtskosten und einer Parteientschädigung. Nach bundesgerichtlicher Praxis kommt jedoch eine solche Sicherstellung dann nicht mehr in Frage, wenn im Zeitpunkt der Gesuchstellung die Kosten bereits erwachsen sind. Mit der Erstattung der Antwort wurden die Kosten des Klägers bereits verursacht; nachdem vorliegend das Zirkulationsverfahren zur Anwendung gelangt ( Art. 36b OG ), entfällt überdies die Möglichkeit künftigen Prozessaufwandes. Das Begehren um Kostensicherstellung ist deshalb als gegenstandslos abzuschreiben (vgl. BGE 118 II 87 E. 2 S. 88; 79 II 295 E. 3 S. 305).</w:t>
      </w:r>
    </w:p>
    <w:p>
      <w:r>
        <w:rPr>
          <w:b/>
        </w:rPr>
        <w:t>E. 2</w:t>
      </w:r>
    </w:p>
    <w:p>
      <w:r>
        <w:t>Der Inhalt eines Vertrags bestimmt sich in erster Linie durch subjektive Auslegung, das heisst nach dem übereinstimmenden wirklichen Parteiwillen ( Art. 18 Abs. 1 OR ). Wenn dieser - wie im vorliegenden Fall - unbewiesen bleibt, sind zur Ermittlung des mutmasslichen Parteiwillens die Erklärungen der Parteien aufgrund des Vertrauensprinzips so auszulegen, wie sie nach ihrem Wortlaut und Zusammenhang sowie den gesamten Umständen verstanden werden durften und mussten ( BGE 129 III 118 E. 2.5; 128 III 265 E. 3a; 127 III 444 E. 1b). Dabei hat der Richter zu berücksichtigen, was sachgerecht ist, weil nicht anzunehmen ist, dass die Parteien eine unangemessene Lösung gewollt haben ( BGE 122 III 420 E. 3a S. 424). Die Vertragsauslegung nach dem Vertrauensprinzip stellt eine Rechtsfrage dar, welche das Bundesgericht im Berufungsverfahren überprüfen kann, wobei es an die Feststellungen der Vorinstanz über die äusseren Umstände gebunden ist (vgl. BGE 129 III 702 E. 2.4 S. 707).</w:t>
      </w:r>
    </w:p>
    <w:p>
      <w:r>
        <w:rPr>
          <w:b/>
        </w:rPr>
        <w:t>E. 3</w:t>
      </w:r>
    </w:p>
    <w:p>
      <w:r>
        <w:t>Vorliegend konnte das Kantonsgericht keinen übereinstimmenden wirklichen Willen der Parteien feststellen. Immerhin wertete es die schriftliche Zeugenauskunft des von den Parteien beigezogenen Notars, der die Frage, ob beabsichtigt gewesen sei, dass der Beklagte den Betrag von Fr. 300'000.- zurückerstatten sollte, mit einem klaren "Ja" beantwortete, als Indiz dafür, dass zwischen den Parteien im Zeitpunkt der Vereinbarung vom 16. August 1991 eine tatsächliche Willensübereinstimmung darin bestand, der Beklagte müsse dem Kläger die erhaltenen Fr. 300'000.- zurückerstatten. Wegen gewisser Unsicherheiten bezüglich der Begründung dieser Zeugenauskunft schritt das Kantonsgericht gleichwohl zur normativen Vertragsauslegung. Dabei gelangte es unter Berücksichtigung der gesamten Umstände zum Schluss, dass die Vereinbarung vom 16. August 1991 aufgrund des Vertrauensprinzips so zu verstehen sei, dass der Beklagte dem Kläger die Fr. 300'000.- zurückzubezahlen habe, falls das beklagtische Grundstück nicht verkauft würde. Es verwarf den Standpunkt des Beklagten, wonach sich der Kläger mit den Fr. 300'000.- einzig eine Option auf den hälftigen Gewinn erkauft habe, die nun wegen der Kündigung der Vereinbarung durch den Kläger entfallen sei. Vielmehr sei die Vereinbarung vom 16. August 1991 als Darlehen zu qualifizieren. Für diese Schlussfolgerung stützte sich das Kantonsgericht auf den Umstand, dass die Parteien eine Sicherstellung der Fr. 300'000.- beabsichtigt hätten. So werde in der Vereinbarung vom 16. August 1991 selbst aufgeführt, dass eine allfällige Sicherstellung der Fr. 300'000.- ausserhalb des Vertrages geregelt werde. Eine solche Sicherstellung sei umso mehr anzunehmen, als der Kläger im Zeitpunkt der Vereinbarung vom 16. August 1991 um die grossen finanziellen Probleme des Beklagten wusste. Schliesslich belege die schriftliche Zeugenauskunft des Notars, dass eine Sicherstellung der Fr. 300'000.- hätte erfolgen sollen. Eine Sicherstellung gebe aber nur Sinn, wenn die Fr. 300'000.- zurückbezahlt werden müssten. Sodann spreche für die Rückzahlungspflicht auch die ausdrückliche Vereinbarung, dass der hälftige Gewinnanteil beim allfälligen Verkauf des Grundstückes die Fr. 300'000.- enthalte. Seien aber die Fr. 300'000.- im Verkaufsfall des Grundstückes miteinzubeziehen, so erscheine konsequent, diesen Betrag auch im (von den Parteien nicht vorgesehenen) Fall weiter zu berücksichtigen, dass das Grundstück nicht verkauft werde.</w:t>
      </w:r>
    </w:p>
    <w:p>
      <w:r>
        <w:rPr>
          <w:b/>
        </w:rPr>
        <w:t>E. 4</w:t>
      </w:r>
    </w:p>
    <w:p>
      <w:r>
        <w:t>Diese Interpretation der Vorinstanz ist sachgerecht und entspricht dem, was vernünftige Parteien unter den gegebenen Umständen gewollt haben würden. Was der Beklagte hiegegen vorbringt, verfängt nicht. Aufgrund seiner Ausführungen ist nicht ersichtlich, inwiefern die Vorinstanz gegen bundesrechtliche Auslegungsregeln (E. 1 hievor) verstossen haben soll. Nicht gefolgt werden kann der Auffassung des Beklagten, dass allein schon aus dem Umstand, dass die Vereinbarung nicht als Darlehen bezeichnet und die Rückzahlung der Fr. 300'000.- nicht ausdrücklich erwähnt war, hätte geschlossen werden müssen, dass kein Darlehensvertrag vorliegt. Wohl ist bei Verwendung juristischer Fachausdrücke in der Regel zu vermuten, dass der technische Sinn gemeint ist ( BGE 119 II 368 E. 4b S. 373). Daraus folgt aber umgekehrt nicht, dass die Nichtverwendung einer bestimmten Bezeichnung es verwehrt, ein Rechtsgeschäft im betreffenden Sinne zu qualifizieren. Dies gilt in casu umso mehr, als der - neutral als Vereinbarung bezeichnete - Vertrag vom 16. August 1991 mehrere Elemente umfasste (Ziffer 1: Übergabe des Betrages von Fr. 300'000.-; Ziffer 2: Auftrag zum Verkauf des Grundstückes; Ziffer 3: Gewinnaufteilung). Fehl geht auch die Berufung auf die Unklarheitsregel. Das Kantonsgericht hat unter Bezugnahme auf die Zeugenauskunft des Notars für das Bundesgericht verbindlich festgestellt (vgl. Art. 63 Abs. 2 OG ), dass beide Parteien den Inhalt der Vereinbarung verstanden haben. Ohnehin kommt die Unklarheitsregel erst zur Anwendung, wenn die übrigen Auslegungsmittel versagen und bestehende Zweifel nicht anders behoben werden können (Gauch/Schluep/ Schmid/Rey, Schweizerisches Obligationenrecht, Allgemeiner Teil, Bd. I, 8. Aufl. 2003, N 1232; BGE 123 III 35 E. 2c/bb S. 44; 109 II 213 E. 2b S. 219), was vorliegend nicht zutrifft. Soweit der Beklagte schliesslich rügt, die Vorinstanz habe die Zeugenaussage des Notars unzutreffend gewertet, ist er nicht zu hören. Denn eine blosse Kritik an der Beweiswürdigung des Sachrichters ist, soweit nicht Vorschriften des Bundesrechts in Frage stehen, im Berufungsverfahren ausgeschlossen ( BGE 127 III 73 E. 6a).</w:t>
      </w:r>
    </w:p>
    <w:p>
      <w:r>
        <w:rPr>
          <w:b/>
        </w:rPr>
        <w:t>E. 5</w:t>
      </w:r>
    </w:p>
    <w:p>
      <w:r>
        <w:t>Die Berufung erweist sich mithin als unbegründet und ist abzuweisen. Bei diesem Verfahrensausgang ist die Gerichtsgebühr dem Beklagten aufzuerlegen ( Art. 156 Abs. 1 OG ). Er hat dem anwaltlich vertretenen Kläger überdies die Parteikosten für das bundesgerichtliche Verfahren zu ersetzen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