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4C.105/2000 vom 15. September 2000</w:t>
      </w:r>
    </w:p>
    <w:p>
      <w:r>
        <w:t>Bundesgericht, 2000-09-15, FR</w:t>
      </w:r>
    </w:p>
    <w:p>
      <w:r>
        <w:rPr>
          <w:b/>
        </w:rPr>
        <w:t xml:space="preserve">Quelle: </w:t>
      </w:r>
      <w:r>
        <w:t>https://mcp.opencaselaw.ch/entscheid/bger_4C.105_2000</w:t>
      </w:r>
    </w:p>
    <w:p>
      <w:r>
        <w:t>FR: TF 4C.105/2000 du 15 septembre 2000</w:t>
      </w:r>
    </w:p>
    <w:p>
      <w:r>
        <w:t>IT: TF 4C.105/2000 del 15 settembre 2000</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la recourante présente, comme en l'espèce sur plus de 10 pages, un état de fait qui s'écarte de celui contenu dans la décision attaquée sans être à même de se prévaloir, comme on le verra, de l'une des exceptions qui viennent d'être rappelées, il est exclu d'en tenir compte. Il ne peut être présenté de griefs contre les constatations de fait, ni de faits ou de moyens de preuve nouveaux ( art. 55 al. 1 let . c OJ).</w:t>
      </w:r>
    </w:p>
    <w:p>
      <w:r>
        <w:rPr>
          <w:b/>
        </w:rPr>
        <w:t>E. 2</w:t>
      </w:r>
    </w:p>
    <w:p>
      <w:r>
        <w:t>La recourante fait grief à la Cour de justice d'avoir enfreint les art. 47 et 49 CVIM pour avoir considéré que la demanderesse a résilié valablement le 8 juillet 1994 le contrat du 2 mars 1994. a) L'Italie, où se trouve le siège de la demanderesse, a adopté le 1er janvier 1988 la CVIM. Quant à la Suisse, où est domiciliée la défenderesse, elle est partie à ladite Convention depuis le 1er mars 1991. En présence de deux contrats de vente intervenus à des fins commerciales entre deux sociétés ayant leurs sièges respectifs dans des Etats contractants, c'est donc à juste titre que la Cour de justice a retenu, conformément à l' art. 1 al. 1 let. a CVIM , que cette Convention était applicable au présent litige (cf. Neumayer/Ming, Convention de Vienne sur les contrats de vente internationale de marchandises: commentaire, n. 3 ad art. 2 CVIM ). La CVIM est d'application exhaustive; elle régit l'ensemble du contrat, c'est-à-dire la formation de celui-ci ainsi que les droits et obligations des parties, de même que les conséquences d'une inexécution. En principe, l'application supplétive du droit national est exclue (Stoffel, Le droit applicable aux contrats de vente internationale de marchandises in: Publication Cedidac No 20, Les contrats de vente internationale de marchandises, p. 36). Dans la mesure où la CVIM contient ainsi des règles d'application directe, la violation de ses normes peut donner lieu à un recours en réforme ( art. 43 al. 1 OJ ; ATF 124 III 382 consid. 7b p. 398). b) Il résulte de l'état de fait déterminant que l'offre faite le 15 février 1994 par Vieffe pour le compte de la demanderesse a été concrétisée le 2 mars 1994 par la passation d'un contrat de vente en bonne et due forme. Comme cet accord n'a pas modifié l'offre du point de vue du moment de la livraison de la marchandise, il faut considérer que la proposition faite le 15 février 1994 a été acceptée. L' art. 11 CVIM consacrant la liberté de la forme des contrats de vente internationale, il apparaît que les parties sont convenues, conformément à l' art. 33 let. b CVIM , de fixer, pour le contrat du 2 mars 1994, le moment de la livraison par un intervalle de temps délimité par deux dates fixes, soit les 25 mai 1994 et 5 juin 1994, laps de temps dans lequel elle devait impérativement avoir lieu. Autrement dit, le 5 juin 1994 représentait le dernier jour utile lors duquel la marchandise devait être livrée (Neumayer/Ming, op. cit. , n. 4 ad art. 33 CVIM ). Quant au contrat signé le 14 avril 1994, par référence à l'offre du même jour sur la base de laquelle il a été conclu, on doit admettre qu'il prévoyait que la livraison devait intervenir au plus tard à la fin août 1994 (cf. art. 33 let. a CVIM ). c) En vertu de l' art. 49 al. 1 CVIM , l'acheteur peut déclarer le contrat résolu en cas de violation par le vendeur de l'une de ses obligations lorsque cette carence constitue une contravention essentielle au contrat (let. a), ou lorsque, en cas de défaut de livraison, le vendeur ne s'exécute pas dans le délai supplémentaire qui lui a été imparti par l'acheteur ou qu'il déclare qu'il ne livrera pas dans ce délai (let. b). Il ne s'agit pas d'une résolution au sens juridique du terme avec effets ex tunc, mais d'une résiliation qui libère les deux parties des obligations contractuelles non encore exécutées et qui s'opère ex nunc(Neumayer/Ming, op. cit. , n. 1 ad art. 81 CVIM ). Il convient ainsi de déterminer si, le 8 juillet 1994, la demanderesse était en droit, sans avoir fixé à la défenderesse le délai supplémentaire pour livrer la marchandise instauré par l' art. 49 al. 1 let. b CVIM , de résoudre le contrat du 2 mars 1994 en raison de l'absence de toute livraison de marchandise par FCF. De fait, comme, le 8 juillet 1994, l'intervalle de temps pendant lequel le coton devait être livré selon ce contrat était déjà dépassé de plus d'un mois, le délai supplémentaire de durée raisonnable que l'acheteur doit impartir au vendeur selon l' art. 47 CVIM n'entrait plus en ligne de compte. C'est donc en pure perte que la recourante a invoqué la violation de la disposition précitée. aa) La notion de contravention essentielle telle qu'elle est définie par l' art. 25 CVIM doit être interprétée de manière restrictive et, en cas de doute, il y a lieu de considérer que les conditions d'une telle contravention ne sont pas réalisées (Neumayer/Ming, op. cit. , n. 2 ad art. 25 CVIM ). La violation doit concerner le contenu essentiel du contrat, soit la marchandise ou le paiement du prix, et entraîner une atteinte grave au but économique poursuivi par les parties. L'importance de la violation n'est pas déterminante, seules l'étant les conséquences de celle-ci pour la partie lésée. Ce qui précède signifie qu'une obligation principale doit avoir été violée de façon telle que le but économique du contrat ne puisse être atteint, la partie lésée n'ayant plus d'intérêt à l'exécution. La disparition absolue de tout intérêt objectif pour le créancier n'est pas requise. En outre, il importe peu que le défaut soit objectivement réparable ou non (Neumayer/Ming, op. cit. , n. 3 ad art. 25 CVIM ). Dans cette perspective, la violation d'une obligation accessoire ne peut constituer une contravention essentielle que si elle a des répercussions sur l'exécution des obligations principales de manière telle que l'intérêt du créancier à l'exécution du contrat disparaisse, sans qu'il soit toutefois nécessaire que ce dernier subisse un préjudice pécuniaire (Neumayer/Ming, op. cit. , n. 4 et 7 ad art. 25 CVIM ). La motivation du créancier doit être reconnaissable par le débiteur, lequel a su ou pu savoir que le premier considérait si essentielle l'exécution de la clause contractuelle non respectée qu'il aurait renoncé à la vente s'il avait prévu cette contravention (Neumayer/Ming, op. cit. , n. 5 ad art. 25 CVIM ). Pour en juger, il faut se placer au moment de la conclusion du contrat, l'intérêt déterminant de l'une des parties devant être reconnaissable pour l'autre (Neumayer/Ming, op. cit. , n. 6 ad art. 25 CVIM ). Enfin, le préjudice doit être prévisible pour la partie contrevenante ou pour toute personne raisonnable placée dans la même situation; il faut se placer au moment de la commission de la contravention au contrat, lequel détermine s'il existait alors un risque d'une atteinte substantielle aux mobiles et intérêts qui ont amené la partie lésée à conclure (Neumayer/Ming, op. cit. , n. 8 ad art. 25 CVIM ). Un retard dans la livraison de la marchandise constitue une contravention essentielle au contrat si les parties ont prévu que la livraison devait être effectuée à une date fixe, que ce jour était déterminant du point de vue de l'intérêt de l'acheteur à l'exécution du contrat et que le vendeur le savait, notamment lorsqu'il s'agit d'articles de saison. Les circonstances déterminent s'il doit en être sans autre de même pour la livraison à date fixe de biens dont le cours varie quotidiennement sur le marché. Tel est le cas quand on a affaire à un revendeur et que les prix chutent soudainement et considérablement. En présence de variations mineures des prix, la résolution du contrat dépend de la fixation d'un délai supplémentaire de courte durée selon l' art. 49 al. 1 let. b CVIM . Face à un retard considérable dans l'exécution qui constitue une violation essentielle du contrat au sens de l' art. 25 CVIM , l'acheteur est fondé à mettre immédiatement fin à la vente sans avoir préalablement fixé un délai supplémentaire (Neumayer/Ming, op. cit. , n. 3 ad art. 49 CVIM ). bb) En l'espèce, on doit considérer que le terme final prévu pour la livraison du coton, soit le 5 juin 1994, constituait une date fixe qui était déterminante pour l'acheteur lequel, le jour en question, devait disposer de cette matière première pour pouvoir ensuite la traiter en la transformant et la livrer à ses propres clients. Sous cet angle, les délais prévus pour la livraison avaient trait au contenu essentiel du contrat, dès l'instant où l'absence de livraison en temps utile a empêché la réalisation du but économique du contrat pour la demanderesse, celle-ci ayant dû s'adresser à d'autres fournisseurs qui lui ont offert des conditions moins favorables. Force est de constater que cette situation a entraîné pour le créancier la disparition de l'intérêt qu'il avait à l'exécution du contrat du 2 mars 1994. S'agissant d'une vente commerciale portant sur de la matière à l'état brut, la défenderesse ne pouvait ignorer que, pour l'acheteur, le respect des délais de livraison était primordial, comme l'indiquait le laps de temps précis qui était convenu pour la livraison. D'autant plus que, par courrier du 3 juin 1994, la demanderesse lui a fait savoir que le retard apporté à la livraison était de nature à l'empêcher d'exécuter ses propres engagements contractuels. Enfin, dès l'inobservation du délai échéant le 5 juin 1994, la société contrevenante pouvait prévoir les conséquences de son comportement, surtout que la demanderesse lui avait précisé le 27 juin 1994 qu'elle avait dû s'adresser à d'autres fournisseurs pour être en mesure de satisfaire aux obligations qu'elle avait contractées à l'égard de tiers. Dans ces conditions, du moment que la carence de la défenderesse constituait in casu une contravention essentielle au contrat, il n'était nullement nécessaire qu'Adriafil, avant de résilier le 8 juillet 1994 le contrat du 2 mars 1994, impartisse, en application de l' art. 49 al. 1 let. b CVIM , un délai supplémentaire à FCF pour livrer la marchandise commandée. Le moyen de la recourante pris de l'absence de résiliation valable du contrat précité est dénué de fondement.</w:t>
      </w:r>
    </w:p>
    <w:p>
      <w:r>
        <w:rPr>
          <w:b/>
        </w:rPr>
        <w:t>E. 3</w:t>
      </w:r>
    </w:p>
    <w:p>
      <w:r>
        <w:t>La recourante revient à la charge à propos du contrat du 14 avril 1994. Elle allègue également le fait qu'elle n'a pas été mise en demeure de façon qualifiée par la fixation d'un délai supplémentaire pour s'exécuter, en violation des art. 47 et 49 CVIM . A la suivre, il ne pouvait donc y avoir de résiliation valable de ce contrat. De manière à lier le Tribunal fédéral ( art. 63 al. 2 OJ ), la Cour de justice a constaté que les parties n'avaient plus eu de contacts au sujet des marchandises commandées le 14 avril 1994 postérieurement au 7 août 1994, date où les marchandises embarquées à Alexandrie à la fin juillet 1994 ont été débarquées à Gênes. En d'autres termes, après le 7 août 1994, aucun des cocontractants ne s'est soucié de cette marchandise. Peut-être faut-il en voir les raisons dans le fait que ces tonnes de coton, au point de vue de leurs qualités, ne correspondaient que très partiellement à celles qui étaient spécifiées dans le contrat du 14 avril 1994. Mais peu importe, comme on va le voir. En effet, la CVIM n'impose aucune exigence de forme pour la résiliation des contrats de vente (Neumayer/Ming, op. cit. , n. 1 ad art. 11 CVIM ). Il est ainsi admis qu'un comportement concluant constitué par une restitution de la marchandise non conforme au contrat et un refus de payer peut selon les circonstances valoir déclaration implicite de résolution du contrat (Neumayer/Ming, op. cit. n. 1 in fine ad art. 26 CVIM ). Partant, à considérer la liberté de forme consacrée par la CVIM, il convient d'attribuer un effet juridique à l'inaction prolongée des plaideurs après le 7 août 1994. Cette inactivité commune des parties doit s'analyser comme la manifestation réciproque d'une volonté tacite de renoncer à l'exécution de la convention. L'adoption conjointement par les parties d'un tel comportement postérieurement à l'arrivée de la marchandise à Gênes autorise sans conteste la déduction d'une volonté déterminée d'éteindre la convention du 14 avril 1994. Au vu de ce qui précède, la défenderesse ne saurait se plaindre de n'avoir pas été formellement mise en demeure de s'exécuter. Aucune violation des art. 47 et 49 CVIM n'entre donc en considération.</w:t>
      </w:r>
    </w:p>
    <w:p>
      <w:r>
        <w:rPr>
          <w:b/>
        </w:rPr>
        <w:t>E. 4</w:t>
      </w:r>
    </w:p>
    <w:p>
      <w:r>
        <w:t>La recourante soutient ensuite avoir été en proie à une impossibilité d'exécution au sens de l' art. 79 al. 1 et 2 CVIM . Le moyen repose sur une présentation des faits qui s'écarte de celle adoptée souverainement par l'autorité cantonale. L'état de fait déterminant ne révélant nullement l'existence d'une circonstance susceptible de constituer un empêchement imprévisible ou inévitable sur lequel la recourante n'a pas eu prise ou encore un obstacle insurmontable (cf. Neumayer/Ming, op. cit. , n. 2 et 4 ad art. 79 CVIM ), la critique est privée de tout fondement.</w:t>
      </w:r>
    </w:p>
    <w:p>
      <w:r>
        <w:rPr>
          <w:b/>
        </w:rPr>
        <w:t>E. 5</w:t>
      </w:r>
    </w:p>
    <w:p>
      <w:r>
        <w:t>La recourante se prévaut de la violation de diverses dispositions pour contester le principe et la quotité du dommage admis par l'autorité cantonale. a) La défenderesse soutient en particulier que la Cour de justice a enfreint l' art. 8 CC régissant le fardeau de la preuve en retenant que la demanderesse avait prouvé son dommage en tant qu'il était question des achats de remplacement. Cette disposition légale n'est pas sans autre applicable même si la CVIM ne contient aucune règle directe quant au fardeau de la preuve et que toutes les questions de procédure se situent en dehors de son champ d'application. Lorsqu'il examine la question, le juge saisi ne doit pas perdre de vue le contenu de la loi matérielle applicable, soit la lex causae, laquelle, en l'occurrence, est la Convention de Vienne susrappelée. A cet égard, le tribunal compétent ne devrait donc pas se fonder sur sa loi interne. En effet, de manière indirecte, la Convention contribue à la répartition du fardeau de la preuve, et cela en raison de la teneur des termes qu'elle emploie ou de l'établissement d'une relation entre une règle et son exception. C'est pourquoi, d'une manière générale, on peut s'en tenir à l'adage "actori incumbit probatio". Il en découle que celui qui invoque un droit à la charge de la preuve de sa réalisation et qu'inversement, l'autre partie doit prouver les faits qui excluent la prétention invoquée ou s'y opposent (Neumayer/Ming, op. cit. , n. 13 ad art. 4 CVIM ). Comme la CVIM ne contient pas de disposition prescrivant au juge la manière dont il doit forger sa conviction, il n'y a pas d'obstacle juridique qui empêche une référence à la jurisprudence relative à l' art. 8 CC . Selon celle-ci, l' art. 8 CC interdit notamment au juge de considérer comme établi un fait pertinent allégué par une partie pour en déduire son droit, alors que ce fait, contesté par la partie adverse, n'a pas reçu un commencement de preuve ( ATF 114 II 289 consid. 2a). En revanche,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3c; 119 II 114 consid. 4c p. 117; 117 II 387 consid. 2e). En effet, l' art. 8 CC ne prescrit pas, à l'exemple de la CVIM, comment le juge doit apprécier les preuves et sur quels éléments il peut parvenir à une conviction. In casu, la recourante conteste que les factures produites par l'intimée en relation avec les achats de remplacement se rapportent aux mêmes qualités de coton que celles qui furent commandées. Ce faisant, elle s'en prend à la manière dont l'autorité cantonale a apprécié les preuves rassemblées. Le moyen est ainsi irrecevable. b) Invoquant l' art. 75 CVIM , la recourante est d'avis que les achats de remplacement effectués par la demanderesse ne pouvaient être qualifiés de la sorte au motif qu'un délai raisonnable devait s'écouler après la résolution du contrat pour qu'il y soit procédé. L' art. 75 CVIM a trait au calcul du préjudice, qui doit être effectué de manière concrète en cas de résolution du contrat. Dans cette optique, si cette disposition prescrit à l'acheteur d'acheter la marchandise de remplacement dans un délai raisonnable, c'est uniquement en vue qu'il obtienne un prix aussi avantageux que possible et contribue de la sorte à réduire le dommage. Si l'affaire de couverture ne répond pas à ces conditions, le dommage est calculé conformément à l' art. 74 CVIM ou en fonction du prix du marché ( art. 76 CVIM ) (cf. Neumayer/Ming, op. cit. , n. 2 ad art. 75 CVIM ). On ne voit donc pas que la recourante puisse reprocher à l'intimée d'avoir procédé sans délai à des achats de couverture, dès lors qu'elle n'établit pas que la demanderesse aurait pu obtenir la marchandise de remplacement à un prix plus avantageux. Et, lorsque la recourante fait valoir que la demanderesse a refusé la marchandise parvenue à Gênes le 7 août 1994, elle s'écarte des faits retenus par la cour cantonale, laquelle a posé que les parties se sont désintéressées du sort du coton arrivé dans ce port. c) La recourante prétend que si, par impossible, le Tribunal fédéral devait arriver à la conclusion que les achats effectués le 7 juillet 1994 constituaient des achats de remplacement au sens de l' art. 75 CVIM , il conviendrait, conformément à l' art. 77 CVIM , de déterminer la différence entre les prix convenus par les parties, augmentés de 6% et de 10%, et ceux pratiqués par les fournisseurs de remplacement pour la même marchandise, seule cette différence pouvant être réclamée à la recourante. Dire qu'il y a eu dommage et quelle en est la quotité est une question de fait, soustraite à l'examen du Tribunal fédéral en instance de réforme ( ATF 123 III 241 consid. 3a; 122 III 61 consid. 2c/bb; 122 III 219 consid. 3b). C'est en revanche une question de droit que de déterminer si le juge a perdu de vue l'exigence d'un dommage au sens juridique ou a méconnu le sens de cette notion pour s'être fondé sur des critères erronés ou dénués de pertinence pour calculer le préjudice (cf. ATF 120 II 296 consid. 3b et les références). Si tant est que le moyen ait trait aux principes qui ont été appliqués pour arrêter le dommage, il est totalement infondé. L'autorité cantonale a en effet tenu compte de la différence de prix existant entre le coton commandé à la recourante et celui effectivement livré, conformément à l' art. 75 CVIM . Comme la recourante n'indique même pas les mesures raisonnables que l'intimée aurait dû prendre pour limiter le préjudice, les magistrats genevois ne sauraient avoir consacré une fausse application de l' art. 77 CVIM . d) La recourante reproche enfin à la Cour de justice d'avoir retenu "de manière manifestement arbitraire" que le gain manqué allégué par la demanderesse a été établi. Elle soutient que l'autorité cantonale s'est fondée sur des pièces contestées dont les faits qui y étaient contenus n'avaient pas été prouvés par d'autres moyens de preuve. Le grief est irrecevable, étant donné qu'il porte sur l'appréciation des preuves à laquelle a procédé l'autorité cantonale.</w:t>
      </w:r>
    </w:p>
    <w:p>
      <w:r>
        <w:rPr>
          <w:b/>
        </w:rPr>
        <w:t>E. 6</w:t>
      </w:r>
    </w:p>
    <w:p>
      <w:r>
        <w:t>En définitive, le recours doit être rejeté dans la mesure où il est recevable, l'arrêt attaqué étant confirmé.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