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9/2021 vom 12. Januar 2022</w:t>
      </w:r>
    </w:p>
    <w:p>
      <w:r>
        <w:t>Bundesgericht, 2022-01-12, FR</w:t>
      </w:r>
    </w:p>
    <w:p>
      <w:r>
        <w:rPr>
          <w:b/>
        </w:rPr>
        <w:t xml:space="preserve">Quelle: </w:t>
      </w:r>
      <w:r>
        <w:t>https://mcp.opencaselaw.ch/entscheid/bger_4A_9_2021</w:t>
      </w:r>
    </w:p>
    <w:p>
      <w:r>
        <w:t>FR: TF 4A 9/2021 du 12 janvier 2022</w:t>
      </w:r>
    </w:p>
    <w:p>
      <w:r>
        <w:t>IT: TF 4A 9/2021 del 12 gennaio 2022</w:t>
      </w:r>
    </w:p>
    <w:p>
      <w:pPr>
        <w:pStyle w:val="Heading2"/>
      </w:pPr>
      <w:r>
        <w:t>Regeste</w:t>
      </w:r>
    </w:p>
    <w:p>
      <w:r>
        <w:t>interprétation de l'ordre de bourse du client; responsabilité de la banque, | Droit des contrats</w:t>
      </w:r>
    </w:p>
    <w:p>
      <w:pPr>
        <w:pStyle w:val="Heading2"/>
      </w:pPr>
      <w:r>
        <w:t>Erwägungen</w:t>
      </w:r>
    </w:p>
    <w:p>
      <w:r>
        <w:rPr>
          <w:b/>
        </w:rPr>
        <w:t>E. 1</w:t>
      </w:r>
    </w:p>
    <w:p>
      <w:r>
        <w:t>Interjeté en temps utile ( art. 100 al. 1, art. 46 al. 1 let . c et art. 45 al. 1 LTF ) par la partie défenderesse, qui a succombé dans ses conclusions libératoires ( art. 76 al. 1 LTF ), contre une décision finale ( art. 90 LTF ), rendue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et les arrêts cités).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Avant toute chose, il s'impose de préciser que les options call (ou calls) sont des options d'achat. Ce sont des contrats qui créent un cadre contractuel avec des obligations propres à chacun des cocontractants. Les options call donnent le droit, mais non l'obligation, d'acquérir, à un prix d'exercice déterminé ( strike ), un sous-jacent, comme ici des actions D.________, à une certaine date (date de maturité; call à l'européenne) (sur la différence avec le call à l'américaine, cf. arrêts 4A_432/2019 du 13 décembre 2019 consid. 3.3.3; 5A_715/2016 du 31 mars 2017 consid. 5.2.2 et la référence citée). Il arrive fréquemment que les investisseurs ne fassent pas usage du droit d'acheter le sous-jacent, mais vendent l'option call avant la date de maturité, pour en réaliser la plus-value. En l'espèce, une option call, c'est-à-dire un contrat, permet d'acheter à l'échéance 100 actions D.________, ce qui, à un strike de 160 fr., représente un prix de 16'000 fr.; 100 options call permettent donc d'acheter 10'000 actions, ce qui, à un strike de 160 fr., coûterait 1'600'000 fr.</w:t>
      </w:r>
    </w:p>
    <w:p>
      <w:r>
        <w:rPr>
          <w:b/>
        </w:rPr>
        <w:t>E. 4</w:t>
      </w:r>
    </w:p>
    <w:p>
      <w:r>
        <w:t>Les parties divergent sur le point de savoir si le client a donné l'ordre d'acheter 100 calls, ce qui représente 100 fois 100 options, ou s'il a donné l'ordre d'acheter un call, ce qui représente 100 options.</w:t>
      </w:r>
    </w:p>
    <w:p>
      <w:r>
        <w:rPr>
          <w:b/>
        </w:rPr>
        <w:t>E. 4.1.1</w:t>
      </w:r>
    </w:p>
    <w:p>
      <w:r>
        <w:t>Lorsque la banque et le client sont liés par une relation bancaire de simple compte/dépôt bancaire ( blosse Konto-/Depot-Beziehung ; execution only ), la banque ne peut effectuer une opération d'achat ou de vente déterminée sur le compte du client que sur instructions ou avec l'accord de celui-ci (arrêt 4A_354/2020 du 5 juillet 2021 consid. 3.1 et les arrêts cités; sur cette relation en général, cf. arrêt 4A_54/2017 du 29 janvier 2018 consid. 5.1.4 et 5.2 et les arrêts cités). La responsabilité de la banque est soumise à l' art. 398 al. 1 CO , qui renvoie à l' art. 321e al. 1 CO . Elle est donc subordonnée aux quatre conditions suivantes, conformément au régime général de l' art. 97 CO (arrêts 4A_354/2020 précité consid. 3.2; 4A_556/2019 du 29 septembre 2020 consid. 4.3 et les arrêts cités)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Le mandant supporte le fardeau de l'allégation objectif ( objektive Behauptungslast ) et le fardeau de la preuve ( Beweislast ) des trois premières conditions, conformément à l' art. 8 CC . Il incombe en revanche au mandataire de prouver qu'aucune faute ne lui est imputable (" à moins qu'il ne prouve... ") (arrêts 4A_72/2020 précité consid. 5.3; 4A_556/2019 précité consid. 4.3 et les arrêts cités).</w:t>
      </w:r>
    </w:p>
    <w:p>
      <w:r>
        <w:rPr>
          <w:b/>
        </w:rPr>
        <w:t>E. 4.1.2</w:t>
      </w:r>
    </w:p>
    <w:p>
      <w:r>
        <w:t>Les parties ne remettent pas en cause l'application des art. 394 ss CO .</w:t>
      </w:r>
    </w:p>
    <w:p>
      <w:r>
        <w:rPr>
          <w:b/>
        </w:rPr>
        <w:t>E. 4.2</w:t>
      </w:r>
    </w:p>
    <w:p>
      <w:r>
        <w:t>Savoir si la banque a violé son devoir de diligence (première condition) présuppose de déterminer le contenu des instructions que lui a données le client.</w:t>
      </w:r>
    </w:p>
    <w:p>
      <w:r>
        <w:rPr>
          <w:b/>
        </w:rPr>
        <w:t>E. 4.2.1</w:t>
      </w:r>
    </w:p>
    <w:p>
      <w:r>
        <w:t>Les instructions, autrement dit les ordres, notamment d'achat ou de vente d'instruments financiers, sont des manifestations de volonté unilatérales du client (le mandant), sujettes à réception par la banque (la mandataire) (arrêts 4A_111/2019 du 23 juillet 2019 consid. 3.3; 4A_352/2018 du 25 février 2019 consid. 3.4; 4A_59/2009 du 7 septembre 2009 consid. 5.3.2; 4C.383/2006 du 27 février 2007 consid. 3.3). Il n'y a pas lieu d'examiner ici la question de savoir si les instructions sont contraignantes pour la banque (cf. arrêt 4A_111/2019 précité et les arrêts cités) ou si la banque ne serait liée qu'après les avoir acceptées (FRANZ WERRO, in Commentaire romand, 3e éd. 2021, no 4 ad art. 397 CO ; TERCIER/BIERI/CARRON, Les contrats spéciaux, 5e éd. 2016, p. 635 n. 4457), dès lors qu'aucun grief n'est soulevé à cet égard.</w:t>
      </w:r>
    </w:p>
    <w:p>
      <w:r>
        <w:rPr>
          <w:b/>
        </w:rPr>
        <w:t>E. 4.2.2</w:t>
      </w:r>
    </w:p>
    <w:p>
      <w:r>
        <w:t>Les manifestations de volonté unilatérales, qu'elles soient ou non sujettes à réception, doivent être interprétées conformément aux principes généraux en matière d'interprétation des manifestations de volonté (cf. arrêt 4A_643/2020 du 22 octobre 2021 consid. 4 et les arrêts et références cités), applicables par analogie ( ATF 115 II 323 consid. 2b; arrêt 4A_544/2012 du 28 janvier 2013 consid. 4.2; STEPHAN HARTMANN, Zürcher Kommentar, 4e éd. 2014, no 67 ad art. 18 CO ; à propos de la résiliation, acte formateur, cf. les arrêts 4A_193/2018 du 27 juillet 2018 consid. 4.1.2; 4A_343/2017 du 1er mai 2018 consid. 2.1; 4A_347/2017 du 21 décembre 2017 consid. 5.2.1). En vertu de l' art. 18 al. 1 CO , applicable par analogie, le juge doit donc rechercher, dans un premier temps, la volonté subjective des parties, soit, d'un côté, la volonté de celui qui fait la déclaration et, de l'autre, la compréhension de cette volonté par celui qui l'a réceptionnée, la volonté subjective ayant la priorité sur la volonté objective en vertu de cette disposition ( ATF 144 III 93 consid. 5.2.1; arrêts 4A_643/2020 précité consid. 4.2; 4A_193/2018 précité consid. 4.1.2). Si le destinataire de la manifestation de volonté l'a effectivement comprise ainsi que le voulait son auteur, la déclaration vaut dans le sens que lui ont donné les deux parties (volonté réelle). Si le juge ne parvient pas à déterminer cette volonté réelle - parce que les preuves font défaut ou ne sont pas concluantes - ou s'il constate que le destinataire de la manifestation de volonté ne l'a pas comprise ainsi que le voulait son auteur, autrement dit que le sens compris ne correspond pas au sens voulu - ce qui ne ressort pas déjà du simple fait que le destinataire l'affirme en procédure, mais doit résulter de l'administration des preuves -, il doit rechercher, dans un second temps, le sens objectif que le destinataire pouvait et devait raisonnablement donner de bonne foi à la déclaration de volonté de l'auteur selon le principe de la confiance ( art. 1 al. 1 CO en relation avec l' art. 2 al. 1 CC ; ATF 144 III 93 consid. 5.2.3 et les arrêts cités; arrêt 4A_643/2020 du 22 octobre 2021 consid. 4 et les références citées).</w:t>
      </w:r>
    </w:p>
    <w:p>
      <w:r>
        <w:rPr>
          <w:b/>
        </w:rPr>
        <w:t>E. 4.2.3</w:t>
      </w:r>
    </w:p>
    <w:p>
      <w:r>
        <w:t>La cour cantonale s'est contentée de constater ce que souhaitait le client, sans se préoccuper de rechercher comment la banque avait compris ce qu'il avait déclaré. Ce faisant, elle a violé le droit fédéral, soit les règles de l' art. 18 CO , ce que la recourante lui reproche.</w:t>
      </w:r>
    </w:p>
    <w:p>
      <w:r>
        <w:rPr>
          <w:b/>
        </w:rPr>
        <w:t>E. 4.2.4</w:t>
      </w:r>
    </w:p>
    <w:p>
      <w:r>
        <w:t>Il s'impose donc de déterminer, en premier lieu, sur la base des constatations de fait de l'arrêt attaqué, si et comment les déclarations du client ont été comprises par la banque, soit de procéder à l'interprétation de la volonté subjective. Force est de constater, tout d'abord, que le client a signé un ordre de bourse, que la cour cantonale elle-même qualifie de contradictoire, dont on ne peut déduire s'il voulait acheter un call ou 100 calls. Ensuite, après avoir hésité sur ce qu'il voulait vraiment tout au long du premier entretien téléphonique de l'employée avec son collègue de la salle des marchés, le client a finalement répondu, à la question de savoir s'il voulait faire valoir son " droit d'acheter les actions à 160 parce que le but final c'est quand même de spéculer sur l'action ", qu'il voulait " spéculer sur l'action ", ce qui a amené l'employée à constater que " c'est faux comme on est en train de faire le truc ". C'est à la suite de cette déclaration du client que l'employée a compris qu'il voulait acheter un call (un contrat). Cela lui a été confirmé ensuite par le client: lorsqu'elle lui a indiqué " vous investissez 155 fr. aujourd'hui " et que, si l'action dépasse les 160 fr., " c'est là que vous allez faire valoir votre droit à acheter les actions pour les 16'000 francs plus le prix du droit plus les frais ", le client a acquiescé. Dans sa réponse au présent recours, le client intimé reconnaît d'ailleurs qu'il " parlait bien du nombre d'options call , même s'il a, dans la confusion, parlé d'actions " et admet que " [f]orce est de constater, en lisant l'ensemble de la retranscription, qu'il s'agit ici encore d'une incompréhension entre [lui] et [l'employée] ". On ne peut que déduire de ces faits, admis et reconnus par l'intimé, qu'il a bien parlé d'achat futur des actions D.________ pour 16'000 fr. et que c'est ce qu'a compris l'employée. La simple affirmation du client intimé, selon laquelle l'incompréhension entre lui et l'employée serait " imputable à la banque ", ne suffit pas à renverser l'appréciation du sens déclaré et du sens compris. Il en va de même lorsqu'il soutient que " même s'il a, dans la confusion, parlé d'actions ", il fallait comprendre qu'il parlait du " nombre d'options call " et que la " confusion [...] est le fait de la [banque], par ses auxiliaires, et est entièrement imputable à la banque ". Lors du second entretien téléphonique de l'employée avec la salle des marchés, le client a entendu l'employée dire qu'il voulait acheter un contrat sur des calls strike D.________, confirmé qu'" on reste toujours avec 1 [contrat] " et entendu qu'il se verrait débiter 157 fr. plus frais. C'est de manière contradictoire et arbitraire, comme la recourante lui en fait grief, que la cour cantonale a motivé sa thèse d'un accord sur 100 calls en retenant que le client ne pouvait pas entendre ce que l'employée disait puisqu'il était sur une autre ligne téléphonique: en effet, elle avait constaté elle-même que le client entendait bien ce que l'employée disait au téléphone puisqu'il était en sa présence, mais qu'il n'entendait pas ce que les collègues de la salle des marchés répondaient au téléphone à celle-ci. Dans sa réponse, le client intimé admet d'ailleurs lui-même qu'il se trouvait dans la même pièce que l'employée pendant que celle-ci discutait par téléphone avec les employés de la salle des marchés. L'argument de la cour cantonale est donc impropre à inverser l'appréciation des faits qui précède. En résumé, comme il l'admet lui-même, après de longs éclaircissements, le client a bien parlé d'achat futur des actions D.________ pour 16'000 fr. et il a entendu qu'il se verrait débiter 157 fr. plus frais. Au vu de cette appréciation, il est superflu de discuter l'hypothèse que l'intimé échafaude, à savoir qu'il n'entendait qu'une partie de l'échange, à savoir les paroles confuses de l'employée, qu'il serait " nécessaire de remettre cette phrase dans son contexte et de souligner qu'il s'agit là d'une des dernières phrases prononcées par [l'employée] " et qu'il aurait pu penser qu'il s'agissait là de 157 fr. de frais. Un client qui veut passer une opération de bourse complexe doit avoir conscience de l'objet et de la portée de celle-ci et pouvoir donner des instructions claires et précises à la banque. Or, l'une et l'autre font défaut en l'espèce.</w:t>
      </w:r>
    </w:p>
    <w:p>
      <w:r>
        <w:rPr>
          <w:b/>
        </w:rPr>
        <w:t>E. 4.2.5</w:t>
      </w:r>
    </w:p>
    <w:p>
      <w:r>
        <w:t>Le sens compris par la banque correspondant au sens déclaré par le client, la volonté réelle est établie. Il est donc exclu de procéder à une interprétation selon le principe de la confiance. Alors que le client a confirmé, à la fin des échanges téléphoniques avec la salle des marchés, vouloir acheter les actions, on ne saurait reprocher à l'employée de la banque de n'avoir pas sollicité de plus amples éclaircissements. Contrairement à ce que soutient l'intimé, qui estime que la banque doit répondre du dommage en cas d'erreur dans l'exécution de l'ordre, il ne faut pas confondre cette situation, qui intervient au moment de l'exécution, avec un ordre qui, comme en l'espèce, est correctement exécuté conformément au contenu qui a été déclaré par le client et correctement interprété et compris par la banque.</w:t>
      </w:r>
    </w:p>
    <w:p>
      <w:r>
        <w:rPr>
          <w:b/>
        </w:rPr>
        <w:t>E. 5</w:t>
      </w:r>
    </w:p>
    <w:p>
      <w:r>
        <w:t>Au vu de ce qui précède, il n'y a pas lieu d'examiner les autres griefs de la recourante, en particulier la question de savoir si la banque aurait pu ou non refuser de procéder à l'achat de 100 calls au motif que le client n'avait pas la couverture financière nécessaire et qu'il ne comprenait pas suffisamment le domaine de la bourse pour passer une telle transaction. Le recours doit donc être admis et l'arrêt attaqué réformé, en ce sens que la demande du client est rejetée, frais judiciaires et dépens à la charge de celui-ci (art. 66 al. 1 et 68 al. 1 et 2 LTF). La cause doit être renvoyée à la cour cantonale pour nouvelle décision sur les frais judiciaires et les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