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99/2024 vom 22. April 2024</w:t>
      </w:r>
    </w:p>
    <w:p>
      <w:r>
        <w:t>Bundesgericht, 2024-04-22, DE</w:t>
      </w:r>
    </w:p>
    <w:p>
      <w:r>
        <w:rPr>
          <w:b/>
        </w:rPr>
        <w:t xml:space="preserve">Quelle: </w:t>
      </w:r>
      <w:r>
        <w:t>https://mcp.opencaselaw.ch/entscheid/bger_4A_99_2024</w:t>
      </w:r>
    </w:p>
    <w:p>
      <w:r>
        <w:t>FR: TF 4A 99/2024 du 22 avril 2024</w:t>
      </w:r>
    </w:p>
    <w:p>
      <w:r>
        <w:t>IT: TF 4A 99/2024 del 22 aprile 2024</w:t>
      </w:r>
    </w:p>
    <w:p>
      <w:pPr>
        <w:pStyle w:val="Heading2"/>
      </w:pPr>
      <w:r>
        <w:t>Regeste</w:t>
      </w:r>
    </w:p>
    <w:p>
      <w:r>
        <w:t>Rechtsöffnung, | Schuldbetreibungs- und Konkursrecht</w:t>
      </w:r>
    </w:p>
    <w:p>
      <w:pPr>
        <w:pStyle w:val="Heading2"/>
      </w:pPr>
      <w:r>
        <w:t>Erwägungen</w:t>
      </w:r>
    </w:p>
    <w:p>
      <w:r>
        <w:rPr>
          <w:b/>
        </w:rPr>
        <w:t>E. 1</w:t>
      </w:r>
    </w:p>
    <w:p>
      <w:r>
        <w:t>Mit Eingabe vom 14. November 2023 erhob A.________ (Beschwerdeführer) beim Appellationsgericht des Kantons Basel-Stadt Beschwerde gegen den Rechtsöffnungsentscheid des Zivilgerichts des Kantons Basel-Stadt vom 2. Oktober 2023. Das Appellationsgericht des Kantons Basel-Stadt verlangte mit Verfügung vom 21. November 2023 einen Kostenvorschuss von Fr. 200.-- vom Beschwerdeführer. Nachdem dieser den Vorschuss auch innert Nachfrist nicht leistete, trat das Appellationsgericht mit Entscheid vom 2. Februar 2024 auf das Rechtsmittel des Beschwerdeführers nicht ein. Der Beschwerdeführer erklärt dem Bundesgericht mit Eingabe vom 11. Februar 2024, den Entscheid des Appellationsgerichts des Kantons Basel-Stadt, Einzelgericht, vom 2. Februar 2024 mit Beschwerde anfechten zu wollen. Am 15. März 2024 stellte der Beschwerdeführer ein sinngemässes Gesuch um unentgeltliche Rechtspflege. Es wurden keine Vernehmlassungen eingeholt.</w:t>
      </w:r>
    </w:p>
    <w:p>
      <w:r>
        <w:rPr>
          <w:b/>
        </w:rPr>
        <w:t>E. 2</w:t>
      </w:r>
    </w:p>
    <w:p>
      <w:r>
        <w:t>Das Bundesgericht prüft von Amtes wegen und mit freier Kognition, ob ein Rechtsmittel zulässig ist ( Art. 29 Abs. 1 BGG ; BGE 149 III 277 E. 3.1; 148 IV 155 E. 1.1 ; 145 I 121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oder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Der Beschwerdeführer setzt sich in seiner Beschwerdeeingabe vom 11. Februar 2024 nicht hinreichend mit den Erwägungen des angefochtenen Entscheid des Appellationsgerichts des Kantons Basel-Stadt, Einzelgericht, vom 2. Februar 2024 auseinander. Er zeigt nicht rechtsgenügend auf, inwiefern die Vorinstanz mit ihrem Entscheid Bundesrecht, geschweige denn verfassungsmässige Rechte verletzt hätte.</w:t>
      </w:r>
    </w:p>
    <w:p>
      <w:r>
        <w:rPr>
          <w:b/>
        </w:rPr>
        <w:t>E. 2.3</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sinngemäss gestellte Gesuch um Befreiung von diesen Kosten im bundesgerichtlichen Verfahren gegenstandslos wird.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