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4A_99/2022 vom 13. September 2022</w:t>
      </w:r>
    </w:p>
    <w:p>
      <w:r>
        <w:t>Bundesgericht, 2022-09-13, FR</w:t>
      </w:r>
    </w:p>
    <w:p>
      <w:r>
        <w:rPr>
          <w:b/>
        </w:rPr>
        <w:t xml:space="preserve">Quelle: </w:t>
      </w:r>
      <w:r>
        <w:t>https://mcp.opencaselaw.ch/entscheid/bger_4A_99_2022</w:t>
      </w:r>
    </w:p>
    <w:p>
      <w:r>
        <w:t>FR: TF 4A_99/2022 du 13 septembre 2022</w:t>
      </w:r>
    </w:p>
    <w:p>
      <w:r>
        <w:t>IT: TF 4A_99/2022 del 13 settembre 2022</w:t>
      </w:r>
    </w:p>
    <w:p>
      <w:pPr>
        <w:pStyle w:val="Heading2"/>
      </w:pPr>
      <w:r>
        <w:t>Erwägungen</w:t>
      </w:r>
    </w:p>
    <w:p>
      <w:r>
        <w:rPr>
          <w:b/>
        </w:rPr>
        <w:t>E. 1</w:t>
      </w:r>
    </w:p>
    <w:p>
      <w:r>
        <w:t>Le Tribunal fédéral examine d'office et librement la recevabilité des recours qui lui sont soumis ( ATF 133 III 489 consid. 3, 462 consid. 2).</w:t>
      </w:r>
    </w:p>
    <w:p>
      <w:r>
        <w:rPr>
          <w:b/>
        </w:rPr>
        <w:t>E. 1.1</w:t>
      </w:r>
    </w:p>
    <w:p>
      <w:r>
        <w:t>Dans la mesure où l'arrêt entrepris constitue une décision incidente ne portant ni sur la compétence ni sur la composition de l'autorité précédente au sens de l' art. 92 LTF , la recevabilité du recours en matière civile est notamment soumise aux conditions de l' art. 93 LTF (arrêts 4A_497/2020 du 19 octobre 2021 consid. 1.1, non publié in ATF 147 III 529 ; 4A_505/2021 du 19 octobre 2021 consid. 4.1).</w:t>
      </w:r>
    </w:p>
    <w:p>
      <w:r>
        <w:t>Lorsque, comme en l'espèce, le recours est interjeté par le créancier des sûretés, le Tribunal fédéral a reconnu que le déni total ou partiel de la protection assurée à la partie attraite, résultant d'une décision incidente qui refuse les sûretés ou ordonne un montant insuffisant, est un préjudice juridique auquel même une décision finale favorable à cette partie n'apportera pas de remède, c'est-à-dire un dommage irréparable aux termes de l' art. 93 al. 1 let. a LTF . Dans ce cas-là, la partie créancière des sûretés se trouve en effet exposée au risque de ne pas pouvoir recouvrer du tout ou pas entièrement les dépens auxquels elle pourrait prétendre si elle obtient gain de cause dans le procès ouvert par son adverse partie (arrêt 4A_497/2020 précité consid. 1.1.1 et les arrêts cités, non publié in ATF 147 III 529 ).</w:t>
      </w:r>
    </w:p>
    <w:p>
      <w:r>
        <w:rPr>
          <w:b/>
        </w:rPr>
        <w:t>E. 1.2</w:t>
      </w:r>
    </w:p>
    <w:p>
      <w:r>
        <w:t>Pour le surplus, interjeté dans le délai fixé par la loi ( art. 100 al. 1 et art. 45 al. 1 LTF ) et dirigé contre une décision incidente rendue par le tribunal supérieur du canton de Genève ( art. 75 LTF ; ATF 143 III 140 consid. 1.2; 137 III 424 consid. 2.2) dans une affaire en matière civile ( art. 72 al. 1 LTF ) dont la valeur litigieuse dépasse 30'000 fr. ( art. 74 al. 1 let. b et art. 51 al. 1 let . c LTF), la voie du recours en matière civile est en principe ouverte.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 arrêt 4A_53/2021 du 21 septembre 2021 consid. 2.1 et les arrêts cités).</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2.3</w:t>
      </w:r>
    </w:p>
    <w:p>
      <w:r>
        <w:t>La recourante " se permet de compléter l'état de fait cantonal sur trois points incontestables ", soit le fait (1) que le site internet de l'intimée ne comporterait pas de mention, ni même de description, de l'équipe chargée de servir la clientèle, (2) que le réviseur de l'intimée, dont la recourante ne mentionne pas le nom, serait tombé en faillite le 9 novembre 2020 et (3) que l'intimée aurait refusé de lui confirmer que son réviseur avait connaissance du litige relatif à la procédure en consultation des comptes de l'intimée et qu'une provision avait été inscrite en conséquence dans son bilan, tout en lui interdisant de s'adresser directement à lui.</w:t>
      </w:r>
    </w:p>
    <w:p>
      <w:r>
        <w:t>La recourante fait certes référence à des titres produits en procédure mais omet d'établir qu'elle a dûment allégué les faits litigieux. En tant qu'il ne satisfait pas aux exigences requises de jurisprudence constante en la matière (cf.</w:t>
      </w:r>
    </w:p>
    <w:p>
      <w:r>
        <w:t>supra consid. 2.1), son grief est donc irrecevable.</w:t>
      </w:r>
    </w:p>
    <w:p>
      <w:r>
        <w:rPr>
          <w:b/>
        </w:rPr>
        <w:t>E. 3</w:t>
      </w:r>
    </w:p>
    <w:p>
      <w:r>
        <w:t>La recourante reproche à la cour cantonale d'avoir violé l'art. 99 al. 1 let. b et d CPC en retenant qu'elle n'aurait pas démontré que l'intimée serait insolvable ou, à tout le moins, en difficultés financières.</w:t>
      </w:r>
    </w:p>
    <w:p>
      <w:r>
        <w:rPr>
          <w:b/>
        </w:rPr>
        <w:t>E. 3.1</w:t>
      </w:r>
    </w:p>
    <w:p>
      <w:r>
        <w:t>L' art. 99 al. 1 CPC , également applicable en appel et en recours cantonal ( ATF 141 III 554 consid. 2.5.1; arrêt 4A_26/2013 du 5 septembre 2013 consid. 2.2 et 2.3), dispose que le demandeur (respectivement l'appelant ou le recourant) doit, sur requête du défendeur (respectivement de l'intimé), fournir des sûretés en garantie du paiement des dépens lorsqu'il paraît insolvable, notamment en raison d'une mise en faillite, d'une procédure concordataire en cours ou de la délivrance d'actes de défaut de biens (let. b) ou lorsque d'autres raisons font apparaître un risque considérable que les dépens ne soient pas versés (let. d).</w:t>
      </w:r>
    </w:p>
    <w:p>
      <w:r>
        <w:rPr>
          <w:b/>
        </w:rPr>
        <w:t>E. 3.2</w:t>
      </w:r>
    </w:p>
    <w:p>
      <w:r>
        <w:t>La cour cantonale a rejeté la requête en fourniture de sûretés en garantie des dépens formée par la requérante.</w:t>
      </w:r>
    </w:p>
    <w:p>
      <w:r>
        <w:t>Elle a retenu que la requérante n'avait pas soutenu que l'intimée ferait l'objet d'une déclaration de faillite, d'une procédure concordataire en cours ou d'actes de défaut de biens et qu'elle n'avait pas rendu vraisemblable que l'intimée ferait l'objet de nombreuses poursuites.</w:t>
      </w:r>
    </w:p>
    <w:p>
      <w:r>
        <w:t>Elle a jugé que le fait que le site internet de l'intimée ne comportait pas les éléments que la requérante estimait devoir y figurer ou comportait des liens erronés ou à des sites qui ne semblaient pas avoir le moindre rapport avec l'activité de l'intimée ne donnait aucune indication sur la situation financière de celle-ci et qu'il en allait de même du profil LinkedIn de l'administrateur de l'intimée ou de la faillite de l'organe de révision de celle-ci.</w:t>
      </w:r>
    </w:p>
    <w:p>
      <w:r>
        <w:t>Par ailleurs, l'opposition de l'intimée à la requête de la requérante en consultation des comptes pouvait avoir de nombreuses raisons autres que celle de vouloir cacher sa situation financière.</w:t>
      </w:r>
    </w:p>
    <w:p>
      <w:r>
        <w:rPr>
          <w:b/>
        </w:rPr>
        <w:t>E. 3.3</w:t>
      </w:r>
    </w:p>
    <w:p>
      <w:r>
        <w:t>La recourante soutient tout d'abord que, contrairement à ce qu'a retenu la cour cantonale, une absence de toute activité économique par l'intimée, dont résulte l'absence de tout revenu et qui jette ainsi un doute sur sa solvabilité, résulte du fait (1) que le site internet de l'intimée ne comporterait pas de mention, ni même de description, de l'équipe chargée de servir la clientèle et qu'il contiendrait des liens erronés, (2) que le profil LinkedIn de son administrateur ne mentionnerait pas sa position au sein de l'intimée et (3) que l'organe de révision de l'intimée aurait fait faillite.</w:t>
      </w:r>
    </w:p>
    <w:p>
      <w:r>
        <w:t>Par ailleurs, elle considère que l'intimée cherche à cacher sa situation financière en refusant de lui confirmer que son réviseur a connaissance du litige relatif à la consultation de ses comptes et qu'une provision avait été inscrite en conséquence dans son bilan et en lui interdisant de s'adresser directement à son réviseur. Selon elle, la cour cantonale aurait omis de prendre en considération qu'en ne nommant pas un nouveau réviseur alors que le précédent avait fait faillite plus d'un an auparavant, l'intimée avait forcément omis de faire réviser ses derniers comptes annuels; la recourante allègue que cela s'expliquerait le plus probablement par le fait que l'intimée ne voulait pas révéler sa situation financière à un organe pouvant constater une situation de surendettement et en aviser le juge.</w:t>
      </w:r>
    </w:p>
    <w:p>
      <w:r>
        <w:t>Enfin, la recourante tire argument du fait que l'intimée aurait refusé de lui donner accès à ses comptes malgré le fait que le tribunal de première instance avait admis sa requête correspondante. Elle estime que la raison la plus probable de ce refus consiste pour l'intimée à lui cacher sa situation financière.</w:t>
      </w:r>
    </w:p>
    <w:p>
      <w:r>
        <w:rPr>
          <w:b/>
        </w:rPr>
        <w:t>E. 3.4</w:t>
      </w:r>
    </w:p>
    <w:p>
      <w:r>
        <w:t>L'argumentation de la recourante est en grande partie appellatoire et se base sur des faits qui n'ont pas été constatés par la cour cantonale et dont elle n'a pas valablement sollicité le complètement. Il en va notamment ainsi du contenu du site internet de l'intimée, du refus de confirmation par l'intimée de certains éléments relatifs à son organe de révision, de l'interdiction de contacter celui-ci, et du fait que l'intimée n'aurait pas nommé de nouveau réviseur et n'aurait pas fait réviser ses derniers comptes annuels.</w:t>
      </w:r>
    </w:p>
    <w:p>
      <w:r>
        <w:t>Il ressort par ailleurs des constatations factuelles que la recourante a elle-même indiqué que l'intimée avait fait appel du jugement autorisant la recourante à consulter ses comptes. L'appel étant en principe pourvu d'un effet suspensif ( art. 315 al. 1 CPC ) et la recourante ne prétendant pas que dit effet suspensif aurait en l'espèce été retiré et que l' art. 315 al. 3 CPC ne serait pas applicable, elle ne saurait se prévaloir de ce jugement pour prétendre que l'intimée tenterait de lui cacher sa situation financière.</w:t>
      </w:r>
    </w:p>
    <w:p>
      <w:r>
        <w:t>Par ailleurs, la recourante ne saurait être suivie dans ses conjectures quand elle se base sur les liens prétendument erronés figurant sur le site internet de l'intimée, sur le profil LinkedIn de l'administrateur de celle-ci et sur la faillite de l'organe de révision de l'intimée pour en déduire au sujet de l'intimée une absence de toute activité économique et de tout revenu. Les explications de la recourante relèvent ainsi de la spéculation et ne satisfont pas aux conditions de l'art. 99 al. 1 let. b et d CPC. Partant, la cour cantonale n'a pas violé le droit en refusant de condamner l'intimée au versement de sûretés.</w:t>
      </w:r>
    </w:p>
    <w:p>
      <w:r>
        <w:t>Le grief doit être rejeté.</w:t>
      </w:r>
    </w:p>
    <w:p>
      <w:r>
        <w:rPr>
          <w:b/>
        </w:rPr>
        <w:t>E. 4</w:t>
      </w:r>
    </w:p>
    <w:p>
      <w:r>
        <w:t>Au vu de ce qui précède, le recours doit être rejeté, dans la mesure de sa recevabilité.</w:t>
      </w:r>
    </w:p>
    <w:p>
      <w:r>
        <w:t>Les frais judiciaires et les dépens seront mis à la charge de la recourante, qui succombe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