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99/2009 vom 10. Juni 2009</w:t>
      </w:r>
    </w:p>
    <w:p>
      <w:r>
        <w:t>Bundesgericht, 2009-06-10, FR</w:t>
      </w:r>
    </w:p>
    <w:p>
      <w:r>
        <w:rPr>
          <w:b/>
        </w:rPr>
        <w:t xml:space="preserve">Quelle: </w:t>
      </w:r>
      <w:r>
        <w:t>https://mcp.opencaselaw.ch/entscheid/bger_4A_99_2009</w:t>
      </w:r>
    </w:p>
    <w:p>
      <w:r>
        <w:t>FR: TF 4A 99/2009 du 10 juin 2009</w:t>
      </w:r>
    </w:p>
    <w:p>
      <w:r>
        <w:t>IT: TF 4A 99/2009 del 10 giugno 2009</w:t>
      </w:r>
    </w:p>
    <w:p>
      <w:pPr>
        <w:pStyle w:val="Heading2"/>
      </w:pPr>
      <w:r>
        <w:t>Regeste</w:t>
      </w:r>
    </w:p>
    <w:p>
      <w:r>
        <w:t>contrat de bail; résiliation | Droit des contrats</w:t>
      </w:r>
    </w:p>
    <w:p>
      <w:pPr>
        <w:pStyle w:val="Heading2"/>
      </w:pPr>
      <w:r>
        <w:t>Erwägungen</w:t>
      </w:r>
    </w:p>
    <w:p>
      <w:r>
        <w:rPr>
          <w:b/>
        </w:rPr>
        <w:t>E. 1.1</w:t>
      </w:r>
    </w:p>
    <w:p>
      <w:r>
        <w:t>Interjeté par la partie demanderesse qui a succombé dans ses conclusions en paiement ( art. 76 al. 1 LTF ), dirigé contre un arrêt final ( art. 90 LTF ) rendu en matière civile ( art. 72 al. 1 LTF ) par une autorité cantonale de dernière instance ( art. 75 LTF ) dans une affaire pécuniaire dont la valeur litigieuse atteint le seuil de 15'000 fr. requis en matière de bail à loyer ( art. 74 al. 1 let. a LTF ),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Il ne peut toutefois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135 III 127 consid. 1.5 p. 130; 134 V 53 consid. 4.3)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Le recourant ne peut d'ailleurs demander une correction de l'état de fait que si celle-ci est susceptible d'influer sur le sort de la cause ( art. 97 al. 1 LTF ). Aucun fait nouveau ni preuve nouvelle ne peut être présenté, à moins de résulter de la décision de l'autorité précédente ( art. 99 al. 1 LTF ). En l'espèce, l'état de fait retenu par la cour cantonale n'est en rien contesté et constitue donc le fondement du raisonnement juridique qui suit.</w:t>
      </w:r>
    </w:p>
    <w:p>
      <w:r>
        <w:rPr>
          <w:b/>
        </w:rPr>
        <w:t>E. 1.4</w:t>
      </w:r>
    </w:p>
    <w:p>
      <w:r>
        <w:t>Le Tribunal fédéral ne peut aller au-delà des conclusions des parties ( art. 107 al. 1 LTF ). Toute conclusion nouvelle est irrecevable ( art. 99 al. 2 LTF ). S'il admet le recours, le Tribunal fédéral peut statuer lui-même sur le fond ou renvoyer l'affaire à l'autorité précédente, voire à l'autorité de première instance ( art. 107 al. 2 LTF ); s'agissant des frais et dépens de la procédure antérieure, il peut également statuer lui-même ou renvoyer la cause en laissant à l'autorité précédente le soin de les fixer ( art. 67 et 68 al. 5 LTF ).</w:t>
      </w:r>
    </w:p>
    <w:p>
      <w:r>
        <w:rPr>
          <w:b/>
        </w:rPr>
        <w:t>E. 2.1</w:t>
      </w:r>
    </w:p>
    <w:p>
      <w:r>
        <w:t>Selon l' art. 23 CO , le contrat n'oblige pas celle des parties qui, au moment de le conclure, était dans une erreur essentielle. Les cas d'erreur essentielle sont énumérés à l' art. 24 CO . L'erreur de calcul, dont parle l' art. 24 al. 3 CO , ne vise que l'hypothèse d'une erreur commune aux deux parties, résultant d'une pure inadvertance dans les opérations arithmétiques, alors qu'en réalité elles sont d'accord sur les prestations dues; ce cas de figure ne concerne pas l'hypothèse où, comme c'est le cas en l'espèce, une partie accepte de conclure le contrat à certaines conditions en étant dans l'erreur sur les surfaces qui lui sont en réalité vendues ou louées ( ATF 119 II 341 consid. 2 p. 343; 116 II 685 consid. 2b/bb p. 688). Il ne s'agit pas non plus d'une erreur sur l'étendue des prestations, dont parle l' art. 24 al. 1 ch. 3 CO , puisque le locataire connaissait les locaux qu'il louait et le montant du loyer qu'il devait payer. Le locataire fait valoir qu'il ignorait la surface réelle des locaux (c'est-à-dire qu'il était dans l'erreur sur un fait existant) et qu'il a été amené ainsi à accepter un loyer auquel il n'aurait pas consenti s'il avait connu la situation réelle; il se prévaut donc d'une erreur portant sur un fait que la loyauté commerciale permettait de considérer comme un élément nécessaire du contrat au sens de l' art. 24 al. 1 ch. 4 CO (cf. ATF 129 III 363 consid. 5.3 p. 365; 119 II 341 consid. 2 p. 343). Le contrat entaché d'une erreur essentielle est tenu pour ratifié lorsque la partie qu'il n'oblige point a laissé s'écouler une année, à compter du moment où l'erreur a été découverte, sans déclarer à l'autre sa résolution de ne pas le maintenir, ou sans répéter ce qu'elle a payé ( art. 31 al. 1 et 2 CO ). Déterminer à quel moment une partie a découvert son erreur et quand elle a manifesté sa volonté d'invalider le contrat sont des questions de fait qui lient le Tribunal fédéral ( art. 105 al. 1 LTF ). Il a été constaté in casu que le locataire avait manifesté sa volonté d'invalider partiellement le bail dans l'année à compter de la découverte de son erreur; sur la base d'un tel état de fait, il n'est pas douteux que l'invalidation est intervenue en temps utile. Il a d'autre part été relevé que le locataire, après avoir découvert la réalité, n'a, à aucun moment, manifesté la volonté de maintenir le contrat, de sorte qu'il apparaît d'emblée, sur la base de ces données factuelles liant le Tribunal fédéral, qu'il n'y a pas eu de ratification malgré l'erreur intervenue et qu'il n'y a donc pas à raisonner avec les règles sur les défauts initiaux de la chose louée au sens de l' art. 258 CO . Bien que les dispositions sur les vices du consentement ne contiennent pas de règle analogue à celle figurant à l' art. 20 al. 2 CO , la jurisprudence a admis qu'une invalidation partielle est possible lorsque la prestation affectée du vice est divisible et que l'on peut admettre que les deux parties auraient conclu le contrat avec une prestation réadaptée pour tenir compte de ce vice ( ATF 130 III 49 consid. 3.2 p. 56 et les arrêts cités). Dès l'instant où il a été constaté en l'espèce que la bailleresse partait de l'idée qu'un loyer annuel d'environ 197 fr. au mètre carré était adéquat, un réajustement du loyer en fonction des surfaces réelles est assurément possible. Selon l'arrêt déféré, la différence entre la surface indiquée et la surface réelle n'était pas perceptible de visu (ce qui distingue le cas de celui cité par la cour cantonale, arrêt 4A_408/2007 du 7 février 2008 consid. 3.3); il a en outre été déjà jugé que le locataire n'était pas tenu de contrôler les surfaces indiquées en les mesurant lui-même (arrêt 4C.5/2001 du 16 mars 2001 consid. 3a); en conséquence, il est évident que l'on ne se trouve pas en présence d'une erreur commise par négligence au sens de l' art. 26 CO , si bien que toute prétention en dommages-intérêts de ce chef est d'emblée exclue.</w:t>
      </w:r>
    </w:p>
    <w:p>
      <w:r>
        <w:rPr>
          <w:b/>
        </w:rPr>
        <w:t>E. 2.2</w:t>
      </w:r>
    </w:p>
    <w:p>
      <w:r>
        <w:t>Le point à trancher est donc de savoir si l'on se trouve en présence d'une erreur portant sur un fait que la loyauté commerciale permettait de considérer comme un élément nécessaire du contrat au sens de l' art. 24 al. 1 ch. 4 CO . Pour que ce cas d'erreur essentielle soit réalisé, il faut tout d'abord que le cocontractant puisse se rendre compte de bonne foi que l'erreur de l'autre partie porte sur un fait qui était objectivement de nature à déterminer la partie à conclure le contrat ou à le conclure aux conditions convenues; il faut encore, en se plaçant du point de vue de la partie qui était dans l'erreur, que l'on puisse admettre subjectivement que son erreur l'a effectivement déterminée à conclure le contrat ou à le conclure aux conditions convenues ( ATF 132 III 737 consid. 1.3 p. 741; 129 III 363 consid. 5.3 p. 365). Ce que les parties avaient à l'esprit au moment de conclure ressortit au fait; relève en revanche du droit la qualification d'essentielle au sens de l' art. 24 al. 1 ch. 4 CO de l'erreur constatée ( ATF 113 II 25 consid. 1a p. 27). Dans le domaine du bail à loyer, qu'il s'agisse d'un logement ou d'un local commercial, la surface à louer est évidemment un élément d'appréciation important pour décider de conclure ou non le contrat, ou en tout cas pour apprécier si le loyer demandé est conforme à l'état du marché dans la région concernée (cf. arrêt 4C.5/2001 du 16 mars 2001, consid. 3a). Cela vaut d'autant plus dans le domaine des locaux commerciaux, qui sont constamment évalués et comparés en fonction du prix au mètre carré. L'art. 11 al. 2 de l'Ordonnance sur le bail à loyer et le bail à ferme d'habitations et de locaux commerciaux du 9 mai 1990 (OBLF; RS 221.213.11) prévoit d'ailleurs expressément que le loyer usuel au sens de l' art. 269a let. a CO peut être déterminé sur la base du prix au mètre carré usuel dans le quartier pour des objets semblables. L'intimée serait d'ailleurs d'autant plus mal placée pour contester l'importance de cet élément qu'elle l'a fait figurer dans le contrat et qu'elle admet elle-même que le loyer proposé a été déterminé en fonction des mètres carrés. La surface louée, en tant que critère déterminant pour fixer le loyer, était donc un fait que la loyauté commerciale permettait objectivement de considérer comme un élément nécessaire du contrat. Il est vrai que le contrat n'indiquait qu'une surface approximative. Cette réserve doit être interprétée selon le principe de la confiance (cf. ATF 132 III 24 consid. 4 p. 27/28). Elle doit être comprise de bonne foi en ce sens que le bailleur, sachant que la détermination exacte de la surface est dans la réalité une opération difficile, a cherché à se protéger contre une réclamation qui procéderait d'une menue divergence de calcul. Or il n'y a rien de tel en l'espèce. La surface réelle est de 204,20 m2, au lieu des 246 m2 indiqués. Il s'agit d'une différence de 41,8 m2 représentant près de 17 % de la surface mentionnée dans le bail. On ne saurait parler à ce sujet d'une petite divergence de calcul. Si le caractère approximatif de la surface indiquée pouvait impliquer une certaine marge d'erreur, le locataire n'avait pas à compter avec une pareille différence, laquelle ne peut en aucun cas être couverte par la notion de surface approximative. On observera à ce propos que, s'agissant d'un logement, la jurisprudence a admis une erreur essentielle dans un cas où la superficie réelle était inférieure de 13 m2 à celle figurant dans le bail, ce qui correspondait à une pièce de dimension moyenne en moins ( ATF 113 II 25 consid. 1b p. 28 s.). Cet ordre de grandeur a été rappelé dans un autre cas où le locataire s'était fondé sur la garantie des défauts (arrêt 4C.81/1997 du 26 janvier 1998, consid. 3b/bb). Dans un autre arrêt, l'idée a été émise qu'une différence supérieure à 10% n'était en tout cas pas admissible et fondait une erreur essentielle (arrêt 4C.5/2001 du 16 mars 2001 consid. 3a). Il reste à examiner si, d'un point de vue subjectif, des circonstances particulières font apparaître que l'indication erronée de la surface n'avait pas un caractère essentiel pour le locataire d'espèce. La jurisprudence l'a déjà admis dans plusieurs cas, où il apparaissait, en fonction de circonstances particulières, que le locataire n'avait attaché aucune importance à l'indication erronée qu'il avait reçue (cf. ATF 129 III 363 consid. 5.3 p. 365; arrêt 4A_408/2007 du 7 février 2008, consid. 3.3; arrêt 4C.5/2001 du 16 mars 2001, consid. 3b). En l'occurrence, d'après l'état de fait déterminant, la différence n'était pas décelable de visu et le locataire n'en a pas eu connaissance avant les calculs d'un ingénieur en automne 2005. Le locataire pouvait se fier à la surface qui lui était indiquée, sans être tenu de procéder lui-même à des calculs (cf. consid. 2.1 in fine ci-dessus). Aucune constatation cantonale ne permet de penser que le locataire ait été à même de se rendre compte de la différence auparavant, à telle enseigne que, de son absence de réaction, l'on puisse déduire que la question n'avait pas d'importance pour lui. La présente espèce se distingue donc de celles où l'indifférence du locataire a été admise. La cour cantonale semble avoir considéré qu'en occupant les locaux pendant plusieurs années sans protester, le locataire avait montré, par son comportement, que les locaux loués étaient conformes à ses attentes et qu'il ne souhaitait pas une surface plus importante. En raisonnant ainsi, la Chambre des recours a perdu de vue que le contrat de bail comporte deux prestations qui s'échangent: la cession de l'usage d'une chose et le paiement du loyer ( art. 253 CO ). Or, le différend ne se pose pas sous l'angle de la détermination de la chose (le locataire savait quels locaux lui étaient loués et il les connaissait), mais sur la détermination du loyer (qui a été effectuée en fonction des mètres carrés). Il est sans doute exact de dire que le locataire se satisfaisait des locaux qui lui étaient loués, mais la question est de savoir si l'intéressé était subjectivement disposé à payer un loyer surfait parce que celui-ci avait été arrêté en fonction d'une surface erronée. Du moment que la différence de surface est de 41,8 m2 et que le loyer a été arrêté sur la base approximative d'un prix de 197 fr. le mètre carré, l'écart en valeur est d'environ 8'200 fr. par an. Il est insoutenable de penser que l'exploitant d'une petite entreprise est indifférent à l'idée de payer 8'200 fr. de trop par année. Rien ne permet de supposer que le locataire n'attachait aucune importance à la surface qui lui était indiquée pour apprécier le montant du loyer demandé. On doit bien au contraire reconnaître qu'une telle différence était aussi subjectivement essentielle. Partant, il sied d'admettre - contrairement à la cour cantonale - que le locataire a invalidé partiellement le contrat pour cause d'erreur essentielle au sens de l' art. 24 al. 1 ch. 4 CO . Les calculs effectués par les juges de première instance pour réajuster les loyers convenus en fonction de la surface effective et pour déterminer ainsi le trop-perçu à restituer n'ont été critiqués par aucune des parties devant le Tribunal fédéral, de sorte qu'il suffit d'en revenir au jugement de première instance. La cause sera renvoyée à l'autorité précédente pour déterminer à nouveau les frais et dépens de la procédure cantonale, puisque l'abandon de certaines conclusions - que le Tribunal fédéral n'a pas dû examiner - peut poser problème.</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