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4A_98/2026 vom 13. April 2026</w:t>
      </w:r>
    </w:p>
    <w:p>
      <w:r>
        <w:t>Bundesgericht, 2026-04-13, DE</w:t>
      </w:r>
    </w:p>
    <w:p>
      <w:r>
        <w:rPr>
          <w:b/>
        </w:rPr>
        <w:t xml:space="preserve">Quelle: </w:t>
      </w:r>
      <w:r>
        <w:t>https://mcp.opencaselaw.ch/entscheid/bger_4A_98_2026</w:t>
      </w:r>
    </w:p>
    <w:p>
      <w:r>
        <w:t>FR: TF 4A_98/2026 du 13 avril 2026</w:t>
      </w:r>
    </w:p>
    <w:p>
      <w:r>
        <w:t>IT: TF 4A_98/2026 del 13 aprile 2026</w:t>
      </w:r>
    </w:p>
    <w:p>
      <w:pPr>
        <w:pStyle w:val="Heading2"/>
      </w:pPr>
      <w:r>
        <w:t>Erwägungen</w:t>
      </w:r>
    </w:p>
    <w:p>
      <w:r>
        <w:rPr>
          <w:b/>
        </w:rPr>
        <w:t>E. 1</w:t>
      </w:r>
    </w:p>
    <w:p>
      <w:r>
        <w:t>Das Bundesgericht prüft von Amtes wegen und mit freier Kognition, ob ein Rechtsmittel zulässig ist ( Art. 29 Abs. 1 BGG ; BGE 150 III 248 E. 1; 149 III 277 E. 3.1; 148 IV 155 E. 1.1).</w:t>
      </w:r>
    </w:p>
    <w:p>
      <w:r>
        <w:rPr>
          <w:b/>
        </w:rPr>
        <w:t>E. 1.1</w:t>
      </w:r>
    </w:p>
    <w:p>
      <w:r>
        <w:t>Die Beschwerde betrifft eine Zivilsache ( Art. 72 BGG ). Sie richtet sich gegen den Endentscheid ( Art. 90 BGG ) eines oberen kantonalen Gerichts, das in Anwendung von Art. 6 Abs. 1 ZPO als einzige kantonale Instanz entschieden hat ( Art. 75 Abs. 2 lit. b BGG ). Es besteht kein Streitwerterfordernis ( Art. 74 Abs. 2 lit. b BGG ). Die Beschwerdeführerin ist mit ihren Anträgen unterlegen ( Art. 76 Abs. 1 BGG ) und die Beschwerdefrist ( Art. 100 Abs. 1 BGG ) ist eingehalten.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Beschwerdeführerin verkennt diese Grundsätze über weite Strecken. Sie stützt sich fast ausschliesslich auf Sachverhaltselemente, die sich nicht aus dem angefochtenen Entscheid ergeben, ohne jedoch eine hinreichende Sachverhaltsrüge zu erheben. Unzureichend ist etwa, wenn sie ohne präzise Aktenhinweise auf prozesskonform eingebrachte Behauptungen und Beweismittel vorbringt, das am 29. September 2025 gestellte Begehren um Einsicht sei nicht begründet gewesen, weshalb der Verwaltungsrat anlässlich der Generalversammlung (nachfolgend: GV) gar nicht über dessen Gutheissung oder Verweigerung habe entscheiden können und es gar nie zu einer begründeten Ablehnung des Einsichtsbegehrens gekommen sei. Präzise Aktenhinweise fehlen auch im Zusammenhang mit der Behauptung der Beschwerdeführerin, die Vorinstanz sei auf ihren Sachvortrag mit keinem Wort eingegangen und sie hätte sich aus beweisrechtlicher Sicht insbesondere mit der E-Mail vom 20. Dezember 2025 auseinandersetzen müssen. Die entsprechenden Vorbringen haben unbeachtet zu bleiben.</w:t>
      </w:r>
    </w:p>
    <w:p>
      <w:r>
        <w:t>Nicht zu berücksichtigen sind sodann die Ausführungen zur angeblichen Gewährung der Einsicht am 27. Januar 2026, da es sich hierbei um echte Noven handelt. Die Beschwerdeführerin verfehlt schliesslich die gesetzlichen Begründungsanforderungen an eine hinreichende Willkürrüge, indem sie aus diesen unbeachtlichen Ausführungen folgert, die Vorinstanz sei zum offenkundig unrichtigen Schluss gekommen, dass durch das GV-Protokoll eine Ablehnung des Einsichtsbegehrens erstellt sei. Massgebend ist demnach einzig der durch die Vorinstanz festgestellte Sachverhalt.</w:t>
      </w:r>
    </w:p>
    <w:p>
      <w:r>
        <w:rPr>
          <w:b/>
        </w:rPr>
        <w:t>E. 2.1</w:t>
      </w:r>
    </w:p>
    <w:p>
      <w:r>
        <w:t>Gemäss Art. 697a Abs. 1 OR können die Geschäftsbücher und die Akten von Aktionären eingesehen werden, die zusammen mindestens fünf Prozent des Aktienkapitals oder der Stimmen vertreten. Der Verwaltungsrat gewährt die Einsicht innert vier Monaten nach Eingang der Anfrage ( Art. 697a Abs. 2 OR ). Die Einsicht muss gewährt werden, soweit sie für die Ausübung der Aktionärsrechte erforderlich ist und soweit keine Geschäftsgeheimnisse oder andere schutzwürdige Interessen der Gesellschaft gefährdet werden. Eine Verweigerung der Einsicht ist schriftlich zu begründen ( Art. 697a Abs. 4 OR ). Für den Fall, dass die Einsicht ganz oder teilweise verweigert wird, sieht Art. 697b OR vor, dass die Aktionäre innerhalb von 30 Tagen vom Gericht die Anordnung der Einsicht verlangen können. Die Frist von 30 Tagen beginnt mit der Verweigerung der Einsicht oder mit dem Ablauf der viermonatigen Frist gemäss Art. 697a Abs. 2 OR (Botschaft vom 31. Januar 2017 zur Änderung des Obligationenrechts [Aktienrecht], BBl 2017 S. 399 ff., S. 542). Letzteres ist der Fall, wenn das Einsichtsbegehren ignoriert und die Einsicht insofern implizit verweigert wird (PETER V. KUNZ, in: Berner Kommentar, Obligationenrecht, Das Aktienrecht, 2023, § 10 Rz. 83 mit Hinweisen).</w:t>
      </w:r>
    </w:p>
    <w:p>
      <w:r>
        <w:rPr>
          <w:b/>
        </w:rPr>
        <w:t>E. 2.2</w:t>
      </w:r>
    </w:p>
    <w:p>
      <w:r>
        <w:t>Die Vorinstanz bejahte die Voraussetzungen für die ersuchte Einsichtnahme, namentlich, dass die 30-tägige Frist zur Einreichung der Einsichtsklage gewahrt sei. Dazu erwog sie, die Beschwerdegegnerin habe die streitgegenständlichen sowie ein weiteres Einsichtsbegehren im Vorfeld zur GV bei der Beschwerdeführerin gestellt. Aus dem Protokoll der GV ergebe sich, dass einzig einem der Einsichtsbegehren entsprochen worden sei. Hinsichtlich der übrigen Einsichtsbegehren werde darin festgehalten, dass auf diese nicht eingegangen werde, da sie frühere Jahre beträfen, für welche die Beschwerdegegnerin die GV-Protokolle bereits genehmigt habe. Zudem werde auf den Handelsregisterauszug einer Gesellschaft verwiesen und die Beschwerdegegnerin aufgefordert, das Begehren unter Einbringung eines Interessennachweises zu konkretisieren. Vor diesem Hintergrund erachtete es die Vorinstanz als erstellt, dass die Beschwerdeführerin das Einsichtsbegehren abgelehnt und der Beschwerdegegnerin die Einsicht verwehrt hat. Folglich habe die Frist zur Einreichung der Einsichtsklage mit der GV am 30. September 2025 zu laufen begonnen und sei mit Einreichung des Gesuchs am 30. Oktober 2025 gewahrt worden. Da die Beschwerdegegnerin die Einsicht unbestrittenermassen zur Prüfung möglicher Verantwortlichkeitsansprüche benötige und der Einsicht entgegenstehende Interessen weder geltend gemacht noch ersichtlich seien, sei die Beschwerdeführerin zu verpflichten, der Beschwerdegegnerin Einsicht zu gewähren.</w:t>
      </w:r>
    </w:p>
    <w:p>
      <w:r>
        <w:rPr>
          <w:b/>
        </w:rPr>
        <w:t>E. 2.3</w:t>
      </w:r>
    </w:p>
    <w:p>
      <w:r>
        <w:t>Nach der verbindlichen Feststellung der Vorinstanz ergibt sich aus dem Protokoll zur GV vom 30. September 2025 sowohl die Verweigerung der streitgegenständlichen Einsicht als auch die Begründung der Verweigerung. Mit dieser Verweigerung begann die Frist zur Einreichung des Einsichtsgesuchs gemäss Art. 697b OR zu laufen. Die Gesuchseinreichung erfolgte unstrittig innerhalb dieser Frist. Zufolge der verweigerten Einsichtnahme kann sich die Beschwerdeführerin nicht auf die viermonatige Frist von Art. 697a Abs. 2 OR stützen, um sich ihrer Pflicht zur Gewährung der Einsicht zu entziehen. Die Rüge der Verletzung dieser Bestimmung ist unbegründet. Ebenso wenig kann sich die Beschwerdeführerin vor Bundesgericht darauf berufen, sie habe die verlangte Einsicht nach Ergehen des angefochtenen Entscheids gewährt. Mit diesem Novum ist sie nicht zu hören ( Art. 99 Abs. 1 BGG ). Ins Leere zielen daher sowohl ihr Argument, der Beschwerdegegnerin mangle es am Rechtsschutzinteresse an den Gesuchsanträgen, als auch ihre Rüge, die Vorinstanz habe Art. 697a f. OR verletzt, indem sie das Gesuch trotz Gewährung der Einsicht gutgeheissen habe. Schliesslich unterlässt es die Beschwerdeführerin aufzuzeigen, welche von ihr prozesskonform vorgebrachten Behauptungen und Beweismittel die Vorinstanz übergangen haben soll. Auch die Rüge der Verletzung von Art. 29 Abs. 2 BV erweist sich daher als unbegründet.</w:t>
      </w:r>
    </w:p>
    <w:p>
      <w:r>
        <w:rPr>
          <w:b/>
        </w:rPr>
        <w:t>E. 3</w:t>
      </w:r>
    </w:p>
    <w:p>
      <w:r>
        <w:t>Das Einsichtsrecht gemäss Art. 697a OR umfasst nur die Einsicht in die Unterlagen der Gesellschaft und nicht deren Herausgabe oder die Zustellung von Kopien (ALAIN RAEMY, in: Handkommentar zum Schweizer Privatrecht, Roberto/Trüeb [Hrsg.], 4. Aufl. 2024, N. 3 zu Art. 697a OR ; DAMIAN A. FISCHER, Informationskonzept im neuen Aktienrecht, SZW 2023 S. 539). Dem Verfahrensantrag der Beschwerdeführerin bezüglich der Nichtzustellung von Beschwerdebeilage 8 an die Gegenpartei kann daher stattgegeben werden.</w:t>
      </w:r>
    </w:p>
    <w:p>
      <w:r>
        <w:rPr>
          <w:b/>
        </w:rPr>
        <w:t>E. 4</w:t>
      </w:r>
    </w:p>
    <w:p>
      <w:r>
        <w:t>Die Beschwerde ist abzuweisen, soweit darauf eingetreten werden kann. Dem Ausgang des Verfahrens entsprechend sind die Gerichtskosten der Beschwerdeführerin aufzuerlegen ( Art. 66 Abs. 1 BGG ). Die Beschwerdegegnerin hat keinen Anspruch auf eine Parteientschädigung, da ihr aus dem bundesgerichtlichen Verfahren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