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4A_98/2012 vom 3. Juli 2012</w:t>
      </w:r>
    </w:p>
    <w:p>
      <w:r>
        <w:t>Bundesgericht, 2012-07-03, FR</w:t>
      </w:r>
    </w:p>
    <w:p>
      <w:r>
        <w:rPr>
          <w:b/>
        </w:rPr>
        <w:t xml:space="preserve">Quelle: </w:t>
      </w:r>
      <w:r>
        <w:t>https://mcp.opencaselaw.ch/entscheid/bger_4A_98_2012</w:t>
      </w:r>
    </w:p>
    <w:p>
      <w:r>
        <w:t>FR: TF 4A_98/2012 du 3 juillet 2012</w:t>
      </w:r>
    </w:p>
    <w:p>
      <w:r>
        <w:t>IT: TF 4A_98/2012 del 3 luglio 2012</w:t>
      </w:r>
    </w:p>
    <w:p>
      <w:pPr>
        <w:pStyle w:val="Heading2"/>
      </w:pPr>
      <w:r>
        <w:t>Erwägungen</w:t>
      </w:r>
    </w:p>
    <w:p>
      <w:r>
        <w:rPr>
          <w:b/>
        </w:rPr>
        <w:t>E. 1</w:t>
      </w:r>
    </w:p>
    <w:p>
      <w:r>
        <w:t>Le présent recours est dirigé contre une décision finale ( art. 90 LTF ) rendue en matière civile ( art. 72 al. 1 LTF ) par une autorité cantonale de dernière instance statuant sur recours ( art. 75 LTF ) dans une affaire pécuniaire dont la valeur litigieuse excède manifestement le seuil de 30'000 fr. ( art. 74 al. 1 let. b LTF ). Déposé dans le délai ( art. 100 al. 1 LTF ) et la forme ( art. 42 LTF ) prévus par la loi, il est recevable sur le principe.</w:t>
      </w:r>
    </w:p>
    <w:p>
      <w:r>
        <w:rPr>
          <w:b/>
        </w:rPr>
        <w:t>E. 2</w:t>
      </w:r>
    </w:p>
    <w:p>
      <w:r>
        <w:t>Le recours peut être formé pour violation du droit fédéral ( art. 95 let. a LTF ). En principe,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w:t>
      </w:r>
    </w:p>
    <w:p>
      <w:r>
        <w:t>Pour les droits constitutionnels tels que la prohibition de l'arbitraire ( art. 9 Cst. ) prévaut le principe de l'allégation, en ce sens que le recourant doit expressément soulever le grief et exposer de manière claire et circonstanciée, si possible documentée, en quoi consiste la violation du droit invoqué ( art. 106 al. 2 LTF ; ATF 134 II 244 consid. 2.2; 133 II 249 consid. 1.4.2). Des critiques de type purement appellatoire ne sont pas admissibles. Le recourant doit se déterminer au moins brièvement par rapport aux considérants de l'arrêt entrepris. Il ne satisfait pas aux exigences de l' art. 42 al. 2 LTF s'il reprend presque mot pour mot l'argumentation formée dans le cadre du recours cantonal sans expliquer, ne serait-ce que succinctement, en quoi l'autorité cantonale supérieure viole elle aussi le droit fédéral ( ATF 134 II 244 consid. 2.1 et 2.3).</w:t>
      </w:r>
    </w:p>
    <w:p>
      <w:r>
        <w:rPr>
          <w:b/>
        </w:rPr>
        <w:t>E. 3</w:t>
      </w:r>
    </w:p>
    <w:p>
      <w:r>
        <w:t>La recourante reproche à A.Z.________ d'avoir indûment mis le programme informatique "..." à disposition d'une autre société du groupe, soit B.Z.________. Elle prétend à ce titre au paiement de 83'333 fr.</w:t>
      </w:r>
    </w:p>
    <w:p>
      <w:r>
        <w:rPr>
          <w:b/>
        </w:rPr>
        <w:t>E. 3.1</w:t>
      </w:r>
    </w:p>
    <w:p>
      <w:r>
        <w:t>Aucune critique ne vise l'analyse des autorités cantonales selon laquelle les prétentions de la recourante relèvent de la responsabilité contractuelle et non de la propriété intellectuelle. N'est pas davantage contestée la conclusion qui en a été tirée, à savoir que la question du droit d'utiliser le logiciel doit se résoudre par l'interprétation du contrat. Ce point est dès lors acquis.</w:t>
      </w:r>
    </w:p>
    <w:p>
      <w:r>
        <w:rPr>
          <w:b/>
        </w:rPr>
        <w:t>E. 3.2</w:t>
      </w:r>
    </w:p>
    <w:p>
      <w:r>
        <w:t>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 art. 18 al. 1 CO ; ATF 131 III 280 consid. 3.1). Pour ce faire, le juge prendra en compte non seulement la teneur des déclarations de volonté, mais aussi les circonstances antérieures et postérieures à la conclusion du contrat (sur ce dernier point, cf. par ex. ATF 129 III 675 consid. 2.3 p. 680), en particulier les projets de contrat, la correspondance échangée, etc. (BÉNÉDICT WINIGER, Commentaire romand, Code des obligations I, 2003, n°s 15, 25 et 32-34 ad art. 18 CO ; ERNST A. KRAMER/BRUNO SCHMIDLIN, Berner Kommentar, 1986, n° 22 ss ad art. 18 CO ). Cette interprétation dite subjective relève du fait et de l'appréciation des preuves ( ATF 132 III 626 consid. 3.1; 131 III 606 consid. 4.1 p. 611).</w:t>
      </w:r>
    </w:p>
    <w:p>
      <w:r>
        <w:t>S'il ne parvient pas à établir avec sûreté cette volonté effective, ou s'il constate que l'une des parties contractantes n'a pas compris la volonté réelle exprimée par l'autre, le juge recherchera le sens qu'elles pouvaient et devaient donner, selon les règles de la bonne foi, à leurs manifestations de volonté réciproques (application du principe de la confiance; ATF 136 III 186 consid. 3.2.1). Cette interprétation objective, qui relève du droit, s'effectue non seulement d'après le texte et le contexte des déclarations, mais également sur le vu des circonstances qui les ont précédées et accompagnées, à l'exclusion des circonstances postérieures ( ATF 136 III 186 consid. 3.2.1; 119 II 449 consid. 3a).</w:t>
      </w:r>
    </w:p>
    <w:p>
      <w:r>
        <w:rPr>
          <w:b/>
        </w:rPr>
        <w:t>E. 3.3</w:t>
      </w:r>
    </w:p>
    <w:p>
      <w:r>
        <w:t>La Cour d'appel, à l'instar de la Cour civile, a considéré que A.Z.________ avait le droit de mettre le programme litigieux à disposition de B.Z.________ et des autres sociétés du groupe. Ont été mis en exergue les éléments suivants: l'art. 9 du contrat de support prévoyait certes que le client ne pouvait en aucun cas disposer du programme pour le revendre ou le transmettre de quelque manière que ce soit à un tiers. Cette clause devait toutefois être relativisée, eu égard à l'avenant du 28 avril 1999 en vertu duquel X.________ s'engageait à discuter avec sa cocontractante des conditions de la revente éventuelle du programme à un autre laboratoire d'analyse. Cet élément montrait que la recourante n'avait pas à elle seule le pouvoir de disposer du logiciel développé spécifiquement pour les intimées. Quoi qu'il en soit, dès le début de leurs relations, les parties étaient convenues que le logiciel serait utilisable librement dans les laboratoires de toutes les sociétés du groupe Z.________. Cette possibilité était d'ailleurs évoquée dans la lettre du 1er avril 1999, laquelle précisait que les éventuelles adaptations spécifiques pour des sites autres que ... n'étaient pas comprises dans l'estimation du prix. C'était précisément en conformité avec ces indications initiales que la recourante avait procédé à des facturations séparées pour chacune des sociétés. Dès l'automne 1999, le programme spécifique développé pour le compte de A.Z.________ avait été utilisé au vu et au su de la recourante dans les laboratoires de toutes les sociétés du groupe Z.________. La recourante avait accepté de délivrer une attestation de la valeur du programme informatique qui devait être apporté en nature à B.Z.________; ce faisant, elle ne pouvait ignorer que le logiciel constituait un actif de la société genevoise dès sa création. Enfin, l'art. 9 du document intitulé "résiliation du contrat de support" rédigé par la recourante démontrait aussi que le programme était d'emblée destiné à toutes les filiales du groupe.</w:t>
      </w:r>
    </w:p>
    <w:p>
      <w:r>
        <w:rPr>
          <w:b/>
        </w:rPr>
        <w:t>E. 3.4</w:t>
      </w:r>
    </w:p>
    <w:p>
      <w:r>
        <w:t>La Cour d'appel a fait sienne la constatation selon laquelle les parties étaient "convenues" d'emblée d'une libre utilisation du logiciel par toutes les filiales du groupe. Elle a évoqué "l'appréciation des preuves effectuée par les premiers juges", qu'elle a jugée adéquate. En bref, la cour cantonale a établi la volonté réelle des parties, en procédant empiriquement et en se fondant sur des circonstances antérieures et postérieures à la conclusion du contrat. Ce faisant, elle n'a en rien enfreint les principes déduits de l' art. 18 CO .</w:t>
      </w:r>
    </w:p>
    <w:p>
      <w:r>
        <w:t>La recourante conteste avoir d'emblée convenu d'une libre utilisation du programme dans le groupe Z.________ et avoir eu connaissance du fait que le logiciel était utilisé par toutes les intimées. Toutefois, elle s'abstient de soulever le grief d'arbitraire et ne s'attache pas à démontrer de façon circonstanciée en quoi l'appréciation des preuves portée par la Cour d'appel serait arbitraire. Elle se contente de reprendre sous une forme quasi identique les arguments déjà invoqués en procédure d'appel, où le juge dispose d'une plus large cognition des faits que le Tribunal fédéral et où les exigences de motivation sont moins strictes ( art. 310 et 311 al. 1 CPC ). Au demeurant, la recourante ne discute pas à proprement parler les contre-arguments opposés par l'autorité d'appel. Le grief est ainsi irrecevable. L'on se contentera d'observer que la cour cantonale, contrairement à ce que paraît insinuer la recourante, n'a pas fondé le droit de libre utilisation du logiciel au sein du groupe sur l'art. 11 de l'avenant au contrat de support. Elle est tout simplement arrivée à la conclusion que pour les deux cocontractantes, les autres sociétés du groupe Z.________ ne constituaient pas des "tiers" au sens de l'art. 9 du contrat de support; or, encore une fois, le caractère arbitraire de cette interprétation subjective n'a pas été invoqué.</w:t>
      </w:r>
    </w:p>
    <w:p>
      <w:r>
        <w:rPr>
          <w:b/>
        </w:rPr>
        <w:t>E. 4.1</w:t>
      </w:r>
    </w:p>
    <w:p>
      <w:r>
        <w:t>La recourante conteste avoir renoncé par actes concluants et sans contrepartie financière à son droit exclusif de modifier le logiciel et d'assurer sa maintenance, suite à l'engagement de I.________ par A.Z.________. Les intimées, qui pouvaient grâce à ce dernier accéder au code-source du programme, se seraient appropriées le logiciel de façon illégitime et devraient à ce titre payer 125'000 fr., correspondant au prix de revient estimé du noyau commun du programme. Les intimées devraient aussi répondre, en vertu des art. 377 ou 378 CO , du fait qu'elles ont résilié unilatéralement le contrat de support pour la maintenance et le développement du programme et auraient ainsi privé la recourante de la possibilité de réaliser des gains. En prenant pour référence de base les montants facturés pour ses interventions passées, la recourante conclut au paiement total de 167'210 fr. 95 à titre de gain manqué.</w:t>
      </w:r>
    </w:p>
    <w:p>
      <w:r>
        <w:rPr>
          <w:b/>
        </w:rPr>
        <w:t>E. 4.2</w:t>
      </w:r>
    </w:p>
    <w:p>
      <w:r>
        <w:t>Les sources d'un programme, également désignées par le terme "code-source", sont l'élément qui permet de maintenir le programme en état de marche, de l'améliorer et de continuer son développement. Sans la connaissance du code-source, la maintenance n'est pratiquement pas possible, ou seulement au prix d'un travail extrêmement long et ardu (BRUNO LEJEUNE, Code-source et contrats de logiciel, in Droit de l'informatique 1986 p. 2 et p. 8 note 4; cf. aussi ATF 125 III 263 consid. 4c p. 268). La question de savoir si le client a le droit de se voir remettre le code-source dépend de l'interprétation du contrat (PETER GAUCH, Der Werkvertrag, 5ème éd. 2011, n° 337). Il arrive fréquemment que le fournisseur du logiciel s'engage par un autre contrat à en assurer le suivi, ce qui lui permet de conserver le code-source et de s'assurer l'exclusivité de la maintenance, tout en garantissant au client la fonctionnalité de son système informatique (LEJEUNE, op. cit., p. 2).</w:t>
      </w:r>
    </w:p>
    <w:p>
      <w:r>
        <w:rPr>
          <w:b/>
        </w:rPr>
        <w:t>E. 4.3</w:t>
      </w:r>
    </w:p>
    <w:p>
      <w:r>
        <w:t>Entre autres indices d'une renonciation de la recourante à l'exclusivité sur les sources du programme, les autorités cantonales ont invoqué la lettre du 9 juillet 2007 adressée à I.________. L'on peut donner acte à la recourante du fait que le chiffre 9 de cette missive ne permet pas de déduire un consentement à ce que les sociétés du groupe Z.________ puissent désormais modifier de façon autonome le logiciel conçu pour elles. D'une part, la recourante y réserve expressément le cas du "client Z.________", en indiquant qu'il sera réglé dans un document séparé. D'autre part, elle précise que "toutes les sources des programmes sur mesure développés pour [ses] clients jusqu'à ce jour, restent [sa] propriété totale sans limite dans le temps". Dans la mesure où le code-source est l'élément-clé pour développer et modifier un programme, le fait de se réserver la propriété des sources équivaut à s'assurer de l'exclusivité sur la maintenance et le développement du logiciel. L'on observe toutefois que les instances cantonales ne se sont pas fondées sur ce seul élément pour retenir un consentement de la recourante.</w:t>
      </w:r>
    </w:p>
    <w:p>
      <w:r>
        <w:t>Quoi qu'il en soit, il n'est pas nécessaire d'examiner plus avant si la Cour d'appel a contrevenu au droit fédéral en retenant, à tout le moins sur la base du principe de la confiance, une renonciation gratuite de la recourante à se prévaloir de son exclusivité sur les sources du programme; il n'est pas davantage utile de rechercher si l'interprétation subjective opérée par la Cour civile permettait de dégager une telle volonté. Il apparaît en effet qu'aucun dommage ne peut être retenu en relation avec une éventuelle violation du droit de la recourante sur les sources du programme.</w:t>
      </w:r>
    </w:p>
    <w:p>
      <w:r>
        <w:rPr>
          <w:b/>
        </w:rPr>
        <w:t>E. 4.4</w:t>
      </w:r>
    </w:p>
    <w:p>
      <w:r>
        <w:t>Il ressort sans conteste de l'art. 9 al. 2 du contrat de support que la recourante se réservait la propriété du programme, et en particulier celle des sources, puisqu'elle niait aux intimées le droit de modifier le programme (cf. a contrario LEJEUNE, op. cit., p. 3). Dès lors qu'elle conservait le code-source, la recourante s'était logiquement engagée à assurer la maintenance du programme. Quant aux intimées, elles n'avaient en soi aucune obligation contractuelle de donner des "mandats de projet" à la recourante; cependant, elles y étaient de facto obligées, puisque la maintenance et le développement du programme ne sont pratiquement pas possibles sans le code-source.</w:t>
      </w:r>
    </w:p>
    <w:p>
      <w:r>
        <w:t>La connaissance du mot de passe contrôlant l'accès aux codes-sources a toutefois permis aux intimées d'utiliser ces sources pour procéder à de minimes modifications et travaux de maintenance, pour leur propre usage. A défaut d'une éventuelle renonciation à titre gratuit de la part de la recourante, les intimées auraient dû soit négocier l'achat du droit d'utiliser les sources, soit recourir aux services de la recourante, soit laisser le programme se figer. Dans ce contexte, le prix de revient du noyau du programme ne constitue pas un élément pertinent. Il s'agissait de chiffrer le prix d'achat du code-source en fonction notamment du coût qu'une renonciation à l'exclusivité du code-source revêtait pour la recourante, laquelle perdait ainsi la possibilité d'obtenir des mandats de maintenance et de développement; cas échéant, il incombait à un expert de déterminer ce prix. Or, il n'apparaît pas que la recourante ait allégué et établi le prix qu'elle aurait pu exiger de la part des intimées. Comme alternative, elle pouvait certes plaider, comme l'a relevé la Cour civile, que les travaux exécutés par I.________ dès le 1er août 2007 l'avaient privée d'un gain. Si l'on sait que les intimées ont fait procéder à de minimes modifications et travaux de maintenance, on ignore en revanche tout des montants que la recourante aurait pu facturer et des bénéfices nets qu'elle aurait pu réaliser pour ces travaux. Dans son mémoire, la recourante, qui traite la question du dommage, ne conteste pas ce point précis du jugement de la Cour civile, que l'autorité d'appel n'a pas rediscuté, mais jugé convaincant. Il s'ensuit que les prétentions de la recourante ne pouvaient qu'être rejetées, indépendamment de la question d'une éventuelle renonciation gratuite au droit d'exclusivité sur le code-source.</w:t>
      </w:r>
    </w:p>
    <w:p>
      <w:r>
        <w:rPr>
          <w:b/>
        </w:rPr>
        <w:t>E. 4.5</w:t>
      </w:r>
    </w:p>
    <w:p>
      <w:r>
        <w:t>La recourante se plaint encore d'une violation de l' art. 377 CO ou de l' art. 378 al. 2 CO .</w:t>
      </w:r>
    </w:p>
    <w:p>
      <w:r>
        <w:t>La réglementation sur le contrat d'entreprise prévoit que tant que l'ouvrage n'est pas terminé, le maître peut toujours se départir du contrat en payant le travail fait et en indemnisant complètement l'entrepreneur ( art. 377 CO ). Par ailleurs, si l'ouvrage n'a pas pu être exécuté par la faute du maître, l'entrepreneur a droit à des dommages-intérêts ( art. 378 al. 2 CO ).</w:t>
      </w:r>
    </w:p>
    <w:p>
      <w:r>
        <w:t>Les premiers juges, dont l'analyse a été confirmée par la Cour d'appel, ont retenu un contrat d'entreprise principal portant sur la conception et le développement d'un programme informatique individualisé, ainsi qu'une succession de contrats d'entreprise pour les prestations de maintenance, qui faisaient l'objet de facturations spécifiques après chaque intervention.</w:t>
      </w:r>
    </w:p>
    <w:p>
      <w:r>
        <w:t>Il a par ailleurs été constaté que l'ouvrage principal était déjà achevé en 2007 et qu'aucun travail de maintenance ou de développement du logiciel était en cours en juillet 2007. Il ne ressort pas non plus de l'état de fait que les intimées auraient confié un mandat à la recourante dont elle n'aurait pas encore commencé l'exécution.</w:t>
      </w:r>
    </w:p>
    <w:p>
      <w:r>
        <w:t>La recourante ne soulève aucun grief d'arbitraire contre l'état de fait et ne prétend pas non plus que les juges cantonaux auraient méconnu la notion d'ouvrage terminé. Il n'est ainsi pas démontré que l'exécution d'un ouvrage aurait été interrompue ou empêchée, ce qui scelle le sort du grief.</w:t>
      </w:r>
    </w:p>
    <w:p>
      <w:r>
        <w:rPr>
          <w:b/>
        </w:rPr>
        <w:t>E. 5</w:t>
      </w:r>
    </w:p>
    <w:p>
      <w:r>
        <w:t>Vu l'issue du recours, il n'est pas nécessaire d'examiner si, comme le plaident les intimées, la recourante a pris dans son appel des conclusions contrevenant aux art. 227 al. 1 et 317 al. 2 CPC.</w:t>
      </w:r>
    </w:p>
    <w:p>
      <w:r>
        <w:rPr>
          <w:b/>
        </w:rPr>
        <w:t>E. 6</w:t>
      </w:r>
    </w:p>
    <w:p>
      <w:r>
        <w:t>En définitive, le recours est rejeté dans la mesure où il est recevable. En conséquence, la recourante supportera les frais de la procédure fédérale et versera une indemnité de dépens aux intimées, créancières solidaires (art. 66 al. 1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