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97/2024 vom 27. Februar 2024</w:t>
      </w:r>
    </w:p>
    <w:p>
      <w:r>
        <w:t>Bundesgericht, 2024-02-27, DE</w:t>
      </w:r>
    </w:p>
    <w:p>
      <w:r>
        <w:rPr>
          <w:b/>
        </w:rPr>
        <w:t xml:space="preserve">Quelle: </w:t>
      </w:r>
      <w:r>
        <w:t>https://mcp.opencaselaw.ch/entscheid/bger_4A_97_2024</w:t>
      </w:r>
    </w:p>
    <w:p>
      <w:r>
        <w:t>FR: TF 4A 97/2024 du 27 février 2024</w:t>
      </w:r>
    </w:p>
    <w:p>
      <w:r>
        <w:t>IT: TF 4A 97/2024 del 27 febbraio 2024</w:t>
      </w:r>
    </w:p>
    <w:p>
      <w:pPr>
        <w:pStyle w:val="Heading2"/>
      </w:pPr>
      <w:r>
        <w:t>Regeste</w:t>
      </w:r>
    </w:p>
    <w:p>
      <w:r>
        <w:t>unentgeltliche Rechtspflege, | Vertragsrecht</w:t>
      </w:r>
    </w:p>
    <w:p>
      <w:pPr>
        <w:pStyle w:val="Heading2"/>
      </w:pPr>
      <w:r>
        <w:t>Erwägungen</w:t>
      </w:r>
    </w:p>
    <w:p>
      <w:r>
        <w:rPr>
          <w:b/>
        </w:rPr>
        <w:t>E. 1</w:t>
      </w:r>
    </w:p>
    <w:p>
      <w:r>
        <w:t>Mit Urteil vom 11. Oktober 2023 wies das Bezirksgericht Visp das Gesuch der Beschwerdeführerin um Gewährung der unentgeltlichen Rechtspflege ab und forderte sie zur Leistung eines Kostenvorschusses auf. Mit Entscheid vom 9. Januar 2024 wies das Kantonsgericht des Kantons Wallis eine von der Beschwerdeführerin gegen das bezirksgerichtliche Urteil vom 11. Oktober 2023 erhobene Beschwerde ab. Mit Eingabe vom 7. Februar 2024 erklärte die Beschwerdeführerin dem Bundesgericht, den Entscheid des Kantonsgerichts des Kantons Wallis vom 9. Januar 2024 mit Beschwerde anfechten zu wollen. 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Die Beschwerdeführerin setzt sich in ihrer Beschwerdeeingabe vom 7. Februar 2024 nicht hinreichend mit den Erwägungen des angefochtenen Entscheids des Kantonsgerichts des Kantons Wallis vom 9. Januar 2024 auseinander und zeigt nicht rechtsgenügend auf, inwiefern die Vorinstanz mit ihrem Entscheid Bundesrecht verletzt hätte. Sie erwähnt zwar das Fairnessgebot ( Art. 29 Abs. 1 BV ), zeigt jedoch offensichtlich nicht hinreichend auf, inwiefern die Vorinstanz diese Bestimmung verletzt haben soll. Auf die Beschwerde ist somit mangels hinreichender Begründung nicht einzutreten ( Art. 108 Abs. 1 lit. b BGG ).</w:t>
      </w:r>
    </w:p>
    <w:p>
      <w:r>
        <w:rPr>
          <w:b/>
        </w:rPr>
        <w:t>E. 3</w:t>
      </w:r>
    </w:p>
    <w:p>
      <w:r>
        <w:t>Das Gesuch um unentgeltliche Rechtspflege samt Rechtsbeistand für das bundesgerichtliche Verfahren ist bereits wegen Aussichtslosigkeit der Beschwerde abzuweisen ( Art. 64 Abs. 1 BGG ). Unter den gegebenen Umständen ist jedoch ausnahmsweise auf die Erhebung von Gerichtskosten zu verzichten (Art. 66 Abs. 1 zweiter Satz BGG). Dem Beschwerdegegner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