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4A_97/2017 vom 4. Oktober 2017</w:t>
      </w:r>
    </w:p>
    <w:p>
      <w:r>
        <w:t>Bundesgericht, 2017-10-04, FR</w:t>
      </w:r>
    </w:p>
    <w:p>
      <w:r>
        <w:rPr>
          <w:b/>
        </w:rPr>
        <w:t xml:space="preserve">Quelle: </w:t>
      </w:r>
      <w:r>
        <w:t>https://mcp.opencaselaw.ch/entscheid/bger_4A_97_2017</w:t>
      </w:r>
    </w:p>
    <w:p>
      <w:r>
        <w:t>FR: TF 4A_97/2017 du 4 octobre 2017</w:t>
      </w:r>
    </w:p>
    <w:p>
      <w:r>
        <w:t>IT: TF 4A_97/2017 del 4 ottobre 2017</w:t>
      </w:r>
    </w:p>
    <w:p>
      <w:pPr>
        <w:pStyle w:val="Heading2"/>
      </w:pPr>
      <w:r>
        <w:t>Erwägungen</w:t>
      </w:r>
    </w:p>
    <w:p>
      <w:r>
        <w:rPr>
          <w:b/>
        </w:rPr>
        <w:t>E. 1.1</w:t>
      </w:r>
    </w:p>
    <w:p>
      <w:r>
        <w:t>Interjeté par la demanderesse qui a succombé dans ses conclusions en paiement et dirigé contre un arrêt final ( art. 90 LTF ) rendu en matière civile ( art. 72 al. 1 LTF ) par un tribunal supérieur du canton statuant sur recours ( art. 75 LTF ) dans une affaire pécuniaire portant sur la responsabilité des associés d'une Sàrl dont la valeur litigieuse atteint le seuil de 30'000 fr. ( art. 74 al. 1 let. b LTF ), le recours est recevable, puisqu'il a été déposé dans le délai (art. 45 al. 1, 48 al. 1 et 100 al. 1 LTF) et la forme ( art. 42 LTF ) prévus par la loi.</w:t>
      </w:r>
    </w:p>
    <w:p>
      <w:r>
        <w:t>La recourante conclut au renvoi de la cause à l'autorité cantonale, à l'admission de sa demande et à la condamnation des défendeurs à lui verser le montant de 145'863 fr. 65. Si ces conclusions, prises à titre principal, sont en soi contradictoires, ce défaut n'affecte pas la recevabilité du recours, le Tribunal fédéral pouvant quoi qu'il en soit choisir la voie (réforme ou renvoi) qui lui paraît la plus appropriée (cf. art. 107 al. 2 LTF ). Enfin, rien n'empêche la demanderesse (en tant que créancière cessionnaire) de conclure - comme elle l'a fait - à la condamnation des défendeurs de payer directement en ses mains (( ATF 139 III 391 consid. 5 p. 395).</w:t>
      </w:r>
    </w:p>
    <w:p>
      <w:r>
        <w:rPr>
          <w:b/>
        </w:rPr>
        <w:t>E. 1.2</w:t>
      </w:r>
    </w:p>
    <w:p>
      <w:r>
        <w:t>Le Tribunal fédéral statue sur la base des faits établis par l'autorité précédente ( art. 105 al. 1 LTF ). Il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Dans la partie " Faits " de son mémoire, la recourante présente des extraits de l'état de fait dressé par la cour cantonale. Elle ne prétend toutefois pas que certains points de fait auraient été établis de manière arbitraire et elle ne présente aucune motivation dans cette perspective. Il n'y a donc pas lieu de s'écarter des constatations contenues dans l'arrêt attaqué.</w:t>
      </w:r>
    </w:p>
    <w:p>
      <w:r>
        <w:rPr>
          <w:b/>
        </w:rPr>
        <w:t>E. 1.3</w:t>
      </w:r>
    </w:p>
    <w:p>
      <w:r>
        <w:t>Le Tribunal fédéral applique d'office le droit ( art. 106 al. 1 LTF ) à l'état de fait constaté dans le jugement cantonal. Il n'est pas limité par les arguments soulevés dans le recours ni par la motivation retenue par l'autorité précédente; il peut donc admettre un recours pour d'autres motifs que ceux qui ont été articulés ou, à l'inverse, rejeter un recours en procédant à une substitution de motifs ( ATF 135 III 397 consid. 1.4 et l'arrêt cité).</w:t>
      </w:r>
    </w:p>
    <w:p>
      <w:r>
        <w:rPr>
          <w:b/>
        </w:rPr>
        <w:t>E. 2</w:t>
      </w:r>
    </w:p>
    <w:p>
      <w:r>
        <w:t>La Cour civile II du Tribunal cantonal du Valais a confirmé le rejet de la demande au motif que la demanderesse n'avait pas établi l'ampleur du dommage subi et que, partant, toutes les conditions permettant d'engager la responsabilité des défendeurs n'étaient pas remplies.</w:t>
      </w:r>
    </w:p>
    <w:p>
      <w:r>
        <w:t>En substance, l'autorité cantonale retient, d'une part, que la demanderesse n'a pas indiqué la date à laquelle la faillite aurait dû être prononcée, que cette lacune ne peut être comblée par le rapport de l'expert judiciaire puisque celui-ci ne se fonde pas sur la date prévisible du prononcé de la faillite. Elle souligne qu'il n'existe en l'occurrence aucun état de nécessité qui justifierait une réduction du degré de la preuve (à la vraisemblance prépondérante), puisque la demanderesse avait la possibilité, par l'intermédiaire de l'expert, d'évaluer de manière précise, aux dates déterminantes, les états financiers de la société.</w:t>
      </w:r>
    </w:p>
    <w:p>
      <w:r>
        <w:t>D'autre part, la cour cantonale relève que les données chiffrées figurant dans l'expertise ne sont pas établies aux valeurs de liquidation, pourtant seules pertinentes.</w:t>
      </w:r>
    </w:p>
    <w:p>
      <w:r>
        <w:rPr>
          <w:b/>
        </w:rPr>
        <w:t>E. 3</w:t>
      </w:r>
    </w:p>
    <w:p>
      <w:r>
        <w:t>Dans un premier grief, la société recourante invoque la violation de l' art. 317 al. 1 let. a CPC , qui entraînerait également une transgression de son droit d'être entendue ( art. 29 al. 2 Cst. ).</w:t>
      </w:r>
    </w:p>
    <w:p>
      <w:r>
        <w:t>Elle signale qu'elle entendait solliciter une nouvelle expertise comptable, mais que les premiers juges ont rejeté sa requête, après avoir pourtant constaté eux-mêmes que les expertises (du 30 juillet 2013 et du 14 octobre 2013, pour le rapport complémentaire) figurant au dossier étaient insuffisantes pour établir l'ampleur du dommage. Selon elle, le tribunal de première instance, dans son jugement, a fourni une motivation insolite que la cour cantonale aurait dû d'emblée sanctionner (en renvoyant la cause au premier juge).</w:t>
      </w:r>
    </w:p>
    <w:p>
      <w:r>
        <w:t>La recourante feint d'ignorer que l'autorité cantonale a relevé que l'expertise supplémentaire requise par la demanderesse ne se rapportait ni à un fait ni à un moyen de preuve véritablement nouveau au sens de l' art. 317 al. 1 CPC . En réalité, la décision rejetant la requête de la demanderesse résulte d'une appréciation des preuves (déjà disponibles en première instance) - par le premier juge - portant sur les faits pertinents pour l'application des art. 725, 754 et 827 CO , auxquels la demanderesse s'est d'ailleurs elle-même référée (ce qui exclu le caractère insolite de la motivation du premier juge); la demanderesse a renoncé (en première instance) à demander un nouveau complément d'expertise ou une surexpertise (selon les règles de la procédure cantonale valaisanne alors applicables) et elle n'a donc pas fait preuve de toute la diligence requise en première instance au sens de l' art. 317 al. 1 let. b CPC .</w:t>
      </w:r>
    </w:p>
    <w:p>
      <w:r>
        <w:t>La recourante ne fournit aucune motivation qui permettrait de comprendre en quoi le raisonnement de la cour cantonale, tel qu'il vient d'être exposé, violerait le droit fédéral. Le moyen, qui repose sur une motivation appellatoire, est donc irrecevable.</w:t>
      </w:r>
    </w:p>
    <w:p>
      <w:r>
        <w:rPr>
          <w:b/>
        </w:rPr>
        <w:t>E. 4</w:t>
      </w:r>
    </w:p>
    <w:p>
      <w:r>
        <w:t>La recourante se plaint ensuite d'une violation de l' art. 42 al. 2 CO en soutenant que l'autorité cantonale aurait dû d'office procéder à une estimation du dommage selon cette disposition légale, que la " connaissance du dommage " est généralement suffisante lorsque, comme cela est le cas en l'espèce, l'état de collocation et l'inventaire ont été déposés à l'office; elle insiste aussi sur le fait que le montant exact du dommage ne pouvait être établi, l'évaluation des principaux actifs immobilisés de la société aux dates déterminantes, étant " particulièrement impossible ".</w:t>
      </w:r>
    </w:p>
    <w:p>
      <w:r>
        <w:rPr>
          <w:b/>
        </w:rPr>
        <w:t>E. 4.1</w:t>
      </w:r>
    </w:p>
    <w:p>
      <w:r>
        <w:t>Selon la jurisprudence fédérale, le dommage de la société consiste dans l'augmentation du découvert entre le moment où la faillite aurait été prononcée si l'administrateur n'avait pas manqué à ses devoirs et le moment (impliquant une perte supérieure) où la faillite a effectivement été prononcée (</w:t>
      </w:r>
    </w:p>
    <w:p>
      <w:r>
        <w:t>Fortführungsschaden ; ATF 136 III 322 consid. 3.2 p. 325; 132 III 342 consid. 2.3.3 p. 348).</w:t>
      </w:r>
    </w:p>
    <w:p>
      <w:r>
        <w:rPr>
          <w:b/>
        </w:rPr>
        <w:t>E. 4.1.1</w:t>
      </w:r>
    </w:p>
    <w:p>
      <w:r>
        <w:t>La première date déterminante (moment où la faillite aurait été prononcée si l'administrateur n'avait pas manqué à ses devoirs) présuppose d'établir le moment où l'administrateur avait des " raisons sérieuses d'admettre que la société [était] surendettée " ( art. 725 al. 2 CO ); à partir de cette date et en fonction des circonstances concrètes, il faut alors déterminer (projection) la date à laquelle la faillite aurait été prononcée. Cette dernière date doit être distinguée du moment où l'administrateur est tenu de dresser le bilan intermédiaire au sens de l' art. 725 al. 2 CO et de la date à laquelle la société a commencé à être surendettée (cf. arrêts 4A_270/2016 du 7 octobre 2016 consid. 2.2.1; 4A_611/2015 du 19 avril 2016 consid. 3.3.1).</w:t>
      </w:r>
    </w:p>
    <w:p>
      <w:r>
        <w:t>Quant à la deuxième date déterminante, elle correspond au jour du prononcé de la faillite et ne nécessite donc aucune projection.</w:t>
      </w:r>
    </w:p>
    <w:p>
      <w:r>
        <w:rPr>
          <w:b/>
        </w:rPr>
        <w:t>E. 4.1.2</w:t>
      </w:r>
    </w:p>
    <w:p>
      <w:r>
        <w:t>Dans le calcul du dommage, seule la valeur de liquidation des biens entre en ligne de compte, puisque l'ouverture de la faillite entraîne la dissolution de la société ( art. 736 ch. 3 CO ) et sa liquidation en conformité des règles de la faillite ( art. 740 al. 5 CO ).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 ATF 136 III 322 consid. 3.2.1 p. 325 s.).</w:t>
      </w:r>
    </w:p>
    <w:p>
      <w:r>
        <w:t>La détermination de la valeur de liquidation permettra de faire émerger d'éventuelles réserves latentes, lesquelles ne sont pas prises en compte dans le calcul de la valeur d'exploitation. Ces réserves sont d'origines diverses et elles peuvent notamment découler d'amortissements, de corrections de valeur et de provisions, ou résulter de surévaluations du passif et de sous-évaluations de l'actif (arrêts 4A_270/2016 déjà cité consid. 2.2.2; 4A_214/2015 déjà cité consid. 3.2.2 et les auteurs cités).</w:t>
      </w:r>
    </w:p>
    <w:p>
      <w:r>
        <w:t>Concrètement, le demandeur doit solliciter des tribunaux de mandater un expert qui aura pour tâche d'établir les valeurs de liquidation aux deux moments déterminants (cf. arrêts 4A_270/2016 déjà cité consid. 2.2.2; 4A_214/2015 déjà cité consid. 3.2.3 et les auteurs cités). Ce n'est qu'ainsi qu'il est possible de dire si le dommage total (subi par la société) est au moins équivalent aux conclusions prises par le demandeur (arrêt 4A_373/2015 du 26 janvier 2016 consid. 3.4.2 et les arrêts cités). Il n'importe à cet égard que le dossier contienne tous les documents et les pièces disponibles (pièces comptables,...); il n'incombe pas au juge de reconstituer l'état du patrimoine de la société, seul un expert disposant des connaissances techniques nécessaires (arrêts 4A_270/2016 déjà cité consid. 2.2.2).</w:t>
      </w:r>
    </w:p>
    <w:p>
      <w:r>
        <w:rPr>
          <w:b/>
        </w:rPr>
        <w:t>E. 4.1.3</w:t>
      </w:r>
    </w:p>
    <w:p>
      <w:r>
        <w:t>Le demandeur qui exerce l'action sociale en réparation du dommage causé à la société elle-même (quand bien même il a choisi de se limiter au montant de son propre découvert) a la charge d'alléguer et de démontrer l'aggravation de la situation financière de la société, soit d'alléguer et d'établir, à la valeur de liquidation, l'état du patrimoine de cette société aux deux dates déterminantes. Si le demandeur ne parvient pas à établir le dommage, le juge doit, en application de l' art. 8 CC , statuer à son détriment ( ATF 132 III 689 consid. 4.5 p. 701; 126 III 189 consid. 2b p. 191 s.).</w:t>
      </w:r>
    </w:p>
    <w:p>
      <w:r>
        <w:t>Quant à la preuve facilitée prévue par l' art. 42 al. 2 CO , elle ne libère pas le demandeur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 ATF 131 III 360 consid. 5.1 p. 363 s.; 122 III 219 consid. 3a).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(arrêts 4a_651/2015 du 19 avril 2016 consid. 3; 4A_431/2015 du 19 avril 2016 consid. 5.1.2 et les arrêts cités).</w:t>
      </w:r>
    </w:p>
    <w:p>
      <w:r>
        <w:rPr>
          <w:b/>
        </w:rPr>
        <w:t>E. 4.2</w:t>
      </w:r>
    </w:p>
    <w:p>
      <w:r>
        <w:t>En l'espèce, les juges précédents ont constaté que la demanderesse n'a pas allégué la date à laquelle la faillite aurait dû être prononcée, ce que celle-ci ne conteste pas sous l'angle de l'arbitraire ( art. 9 Cst. ). Cela n'a toutefois pas empêché l'expert judiciaire d'affirmer que l'avis au juge aurait dû être fait " aux alentours du 15 avril 2007 ". La cour cantonale a précisé que la date déterminante était celle du prononcé de la faillite et qu'il fallait tenir compte de l'intervalle séparant le moment de l'avis au juge du jour du prononcé de la faillite; en partant de la date fixée par l'expert, elle a retenu que le prononcé de la faillite aurait eu lieu, au plus tôt, le 15 mai 2007.</w:t>
      </w:r>
    </w:p>
    <w:p>
      <w:r>
        <w:t>Cela étant, on peut se demander si les allégations de la demanderesse relatives au surendettement étaient suffisamment circonstanciées pour permettre l'administration des preuves et élucider l'état de fait, étant ici observé que la cour cantonale a pu fixer la date déterminante en partant de l'expertise judiciaire. Cette question peut toutefois rester ouverte puisque la demanderesse n'est quoi qu'il en soit pas parvenue à prouver son dommage et que ses arguments, examinés à la lumière de la jurisprudence fédérale, ne sont pas de nature à convaincre d'une violation du droit fédéral.</w:t>
      </w:r>
    </w:p>
    <w:p>
      <w:r>
        <w:rPr>
          <w:b/>
        </w:rPr>
        <w:t>E. 4.2.1</w:t>
      </w:r>
    </w:p>
    <w:p>
      <w:r>
        <w:t>La recourante ne peut être suivie lorsque, renvoyant à divers précédents de la Cour de céans, elle soutient que " la connaissance du dommage est généralement suffisante lorsque l'état de collocation et l'inventaire ont été déposés à l'office ". Le critère de la " connaissance du dommage " n'est pas destiné en soi à calculer le montant du dommage - soit d'établir l'une des conditions de la responsabilité -, mais il sert à déterminer le moment (le jour) à partir duquel le délai de prescription de cinq ans de l'action en responsabilité commence à s'écouler ( art. 760 al. 1 CO ). Dans cette dernière perspective, le dommage est suffisamment défini lorsque le créancier détient assez d'éléments pour qu'il soit en mesure de l'apprécier; il n'est toutefois pas nécessaire qu'il en connaisse exactement le montant ( ATF 116 II 158 consid. 4a).</w:t>
      </w:r>
    </w:p>
    <w:p>
      <w:r>
        <w:rPr>
          <w:b/>
        </w:rPr>
        <w:t>E. 4.2.2</w:t>
      </w:r>
    </w:p>
    <w:p>
      <w:r>
        <w:t>En ce qui concerne le calcul du montant du dommage résultant de l'absence d'avis au juge en cas de surendettement, il ne peut être établi que par un rapport d'un expert judiciaire, celui-ci étant mandaté par le juge pour établir la valeur de liquidation des biens aux deux moments déterminants. La recourante ne revient pas sur cette exigence (qui n'a pas été remplie) et, en particulier, elle ne tente pas de démontrer que la situation d'espèce serait telle qu'elle justifierait de renoncer, exceptionnellement, à l'expertise judiciaire.</w:t>
      </w:r>
    </w:p>
    <w:p>
      <w:r>
        <w:rPr>
          <w:b/>
        </w:rPr>
        <w:t>E. 4.2.3</w:t>
      </w:r>
    </w:p>
    <w:p>
      <w:r>
        <w:t>Quant à l'argument soulevé en lien avec l' ATF 136 III 322 (consid. 3.4.6 p. 329), il ne lui est d'aucune aide, ce précédent traitant d'un cas différent, dans lequel la lésée avait, contrairement au cas d'espèce, allégué et prouvé l'augmentation des passifs en se conformant à la période de calcul déterminante.</w:t>
      </w:r>
    </w:p>
    <w:p>
      <w:r>
        <w:rPr>
          <w:b/>
        </w:rPr>
        <w:t>E. 4.3</w:t>
      </w:r>
    </w:p>
    <w:p>
      <w:r>
        <w:t>La cour cantonale a aussi retenu qu'il n'était pas impossible pour l'expert d'évaluer de manière précise les états financiers de la société aux deux dates déterminantes et qu'en renonçant à demander un complément, voire une surexpertise, la demanderesse n'a pas fourni les éléments utiles (et que l'on pouvait attendre d'elle) à la détermination du dommage. Cela étant, c'est en vain que la demanderesse se prévaut d'une violation de l' art. 42 al. 2 CO . Il n'y a donc pas lieu de se demander si, en l'espèce, les conditions d'application de cette règle, qui consacre la preuve facilitée, étaient réalisées.</w:t>
      </w:r>
    </w:p>
    <w:p>
      <w:r>
        <w:t>Certes, la demanderesse affirme que le montant exact du dommage ne pouvait être établi, qu'il n'était pas possible de dresser un inventaire détaillé ou de produire certaines pièces justificatives relatives aux actifs immobilisés de la société et que l'évaluation aux valeurs de liquidation était " particulièrement impossible ". Cette affirmation est toutefois de nature purement appellatoire et il n'y a donc pas lieu de revenir sur les constatations faites par la cour cantonale.</w:t>
      </w:r>
    </w:p>
    <w:p>
      <w:r>
        <w:rPr>
          <w:b/>
        </w:rPr>
        <w:t>E. 5</w:t>
      </w:r>
    </w:p>
    <w:p>
      <w:r>
        <w:t>La recourante revient encore sur les frais de justice et les dépens de la procédure cantonale.</w:t>
      </w:r>
    </w:p>
    <w:p>
      <w:r>
        <w:t>Lorsqu'elle conteste le montant des dépens de première instance alloués aux défendeurs, elle se réfère à diverses dispositions du droit valaisan (LTar), sans toutefois soutenir qu'elles auraient été appliquées de manière arbitraire ( art. 9 Cst. ) et sans fournir une motivation, conforme aux exigences strictes de l' art. 106 al. 2 LTF , qui permettrait de comprendre en quoi la cour cantonale les auraient appliquées de façon insoutenable. La critique est irrecevable.</w:t>
      </w:r>
    </w:p>
    <w:p>
      <w:r>
        <w:t>Quant à la prétendue violation des art. 104 et 111 CPC (recte: art. 106 et 107 CPC ) invoquée par la recourante en lien avec la répartition des frais et des dépens opérée par la cour cantonale, elle doit être déclarée mal fondée. Comme l'a relevé la recourante, l'autorité cantonale, qui statue sur ces questions selon les règles du droit et de l'équité ( art. 4 CC ), dispose d'un large pouvoir d'appréciation ( ATF 139 III 358 consid. 3 p. 360; arrêt 4A_302/2016 du 16 novembre 2016 consid. 4.2 et l'arrêt cité). En l'occurrence, la cour cantonale, conformément à la règle posée à l' art. 106 al. 1 CPC , a mis les frais - donc aussi les dépens (cf. art. 95 al. 1 CPC ) - à la charge de la demanderesse qui a succombé pour l'essentiel dans la procédure d'appel (arrêt entrepris consid. 8.2.1 p. 30). Les situations prévues à l' art. 107 CPC (répartition en équité) n'entrant en l'occurrence pas en ligne de compte, on ne voit pas en quoi l'autorité précédente aurait abusé de son (large) pouvoir d'appréciation en mettant la totalité des frais à la charge de la demanderesse.</w:t>
      </w:r>
    </w:p>
    <w:p>
      <w:r>
        <w:t>Le moyen est infondé.</w:t>
      </w:r>
    </w:p>
    <w:p>
      <w:r>
        <w:rPr>
          <w:b/>
        </w:rPr>
        <w:t>E. 6</w:t>
      </w:r>
    </w:p>
    <w:p>
      <w:r>
        <w:t>Il résulte des considérants qui précèdent que le recours en matière civile doit être rejeté dans la mesure où il est recevable.</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