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96/2014 vom 2. September 2014</w:t>
      </w:r>
    </w:p>
    <w:p>
      <w:r>
        <w:t>Bundesgericht, 2014-09-02, FR</w:t>
      </w:r>
    </w:p>
    <w:p>
      <w:r>
        <w:rPr>
          <w:b/>
        </w:rPr>
        <w:t xml:space="preserve">Quelle: </w:t>
      </w:r>
      <w:r>
        <w:t>https://mcp.opencaselaw.ch/entscheid/bger_4A_96_2014</w:t>
      </w:r>
    </w:p>
    <w:p>
      <w:r>
        <w:t>FR: TF 4A 96/2014 du 2 septembre 2014</w:t>
      </w:r>
    </w:p>
    <w:p>
      <w:r>
        <w:t>IT: TF 4A 96/2014 del 2 settembre 2014</w:t>
      </w:r>
    </w:p>
    <w:p>
      <w:pPr>
        <w:pStyle w:val="Heading2"/>
      </w:pPr>
      <w:r>
        <w:t>Regeste</w:t>
      </w:r>
    </w:p>
    <w:p>
      <w:r>
        <w:t>contrat d'entreprise, rupture prématurée des relations contractuelles | Droit des contrats</w:t>
      </w:r>
    </w:p>
    <w:p>
      <w:pPr>
        <w:pStyle w:val="Heading2"/>
      </w:pPr>
      <w:r>
        <w:t>Erwägungen</w:t>
      </w:r>
    </w:p>
    <w:p>
      <w:r>
        <w:rPr>
          <w:b/>
        </w:rPr>
        <w:t>E. 1.1</w:t>
      </w:r>
    </w:p>
    <w:p>
      <w:r>
        <w:t>Interjeté par la partie défenderesse qui a entièrement succombé dans ses conclusions libératoires et presque en totalité dans ses conclusions reconventionnelles, si bien qu'elle a qualité pour recourir ( art. 76 al. 1 LTF ), dirigé contre un arrêt final ( art. 90 LTF ) rendu en matière civile ( art. 72 al. 1 LTF ) par un tribunal supérieur statuant sur recours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 Dans la mesure où le recourant présente un état de fait de dix pages, sans invoquer de disposition constitutionnelle ni démontrer l'arbitraire (art. 97 al. 1 et 106 al. 2 LTF), il n'en sera tenu aucun compte.</w:t>
      </w:r>
    </w:p>
    <w:p>
      <w:r>
        <w:rPr>
          <w:b/>
        </w:rPr>
        <w:t>E. 2</w:t>
      </w:r>
    </w:p>
    <w:p>
      <w:r>
        <w:t>Il a été retenu que dès le début de l'année 2007 la direction des travaux, représentante du recourant, a confié à une société tierce, par la conclusion de cinq accords distincts entre le 9 février et le 30 août 2007, différents travaux de gypserie et de peinture dans le cadre de la transformation d'un ancien hôtel, construit sur la parcelle du premier, en maison d'habitation. Ces cinq conventions, qui avaient trait à l'exécution d'un ouvrage contre paiement de plus de 500'000 fr., n'ont jamais été distinguées par les parties contractantes, de sorte que la cour cantonale les a, à bon droit, traitées comme un unique contrat d'entreprise tel que l'entend l' art. 363 CO . Ce point ne fait au demeurant l'objet d'aucune discussion. Au 1er janvier 2008, l'intimée a repris tous les droits et obligations afférents aux accords passés entre le recourant et la société tierce précitée. Le présent litige oppose ainsi uniquement la reprenante, demanderesse principale à l'action, et le recourant, demandeur reconventionnel.</w:t>
      </w:r>
    </w:p>
    <w:p>
      <w:r>
        <w:rPr>
          <w:b/>
        </w:rPr>
        <w:t>E. 3</w:t>
      </w:r>
    </w:p>
    <w:p>
      <w:r>
        <w:t>Le recourant reproche tout d'abord à la cour cantonale de ne pas avoir appliqué l' art. 366 CO , dont il s'était prévalu en procédure, ni les art. 107 et 108 CO . Cette juridiction aurait ignoré que les droits conférés par l' art. 366 al. 1 et 2 CO ne se limitent pas à la résolution du contrat, mais que les droits du maître comprennent toutes les possibilités offertes par la demeure qualifiée du débiteur de l' art. 107 al. 2 CO , soit en particulier celle de renoncer à la prestation promise et de réclamer des dommages-intérêts positifs à l'entrepreneur qui a commis une faute. Or ce serait ce droit que le maître de l'ouvrage a exercé, ainsi que cela ressort de la manifestation de volonté exprimée dans le courrier du 28 juillet 2008. Comme l'intimée se refusait obstinément à exécuter ses obligations contractuelles, poursuit le recourant, il n'était pas nécessaire de lui fixer un délai pour s'exécuter ( art. 108 ch. 1 CO ) et le maître pouvait procéder directement selon l' art. 107 al. 2 CO . La réfection de l'ouvrage n'entrait pas en considération, car le rapport de confiance était irrémédiablement détruit entre les parties.</w:t>
      </w:r>
    </w:p>
    <w:p>
      <w:r>
        <w:rPr>
          <w:b/>
        </w:rPr>
        <w:t>E. 3.1</w:t>
      </w:r>
    </w:p>
    <w:p>
      <w:r>
        <w:t>L' art. 366 CO confère certains droits au maître lorsque l'entrepreneur, au cours des travaux, enfreint ses obligations relatives aux délais de livraison de l'ouvrage (al. 1) - retard dans le commencement de l'exécution, retard dans le rythme d'exécution ou non-respect du terme de livraison arrêté entre parties - ou à l'exécution sans défaut de l'ouvrage (al. 2). Ces deux alinéas règlent ainsi des états de fait différents. S'il y a un retard dans l'exécution de l'ouvrage au sens de l'une des trois hypothèses susrappelées de l' art. 366 al. 1 CO , le maître peut se départir du contrat de manière anticipée s'il en fait la déclaration immédiate et exercer le droit d'option que lui confère l' art. 107 al. 2 CO ( ATF 126 III 230 consid. 7a/bb p. 234). Toutefois, le maître doit fixer à l'entrepreneur un délai supplémentaire convenable pour s'exécuter afin de lui donner une chance de livrer à temps l'ouvrage ( art. 107 al. 1 CO ), la fixation d'un tel délai n'étant pas nécessaire dans les cas prévus par l' art. 108 CO (cf. ATF 115 II 50 consid. 2a p. 55; 98 II 113 consid. 2 p. 115; FRANÇOIS CHAIX, in Commentaire romand, Code des obligations, vol. II, 2 éd. 2012, n° 15 ad art. 366 CO ; PETER Gauch, Le contrat d'entreprise, adaptation française par Benoît Carron, 1999, ch. 675 p. 201 s.). D'après l' art. 366 al. 2 CO , s'il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confiées à un tiers, aux frais et risques de l'entrepreneur. Cette disposition régit un cas d'exécution par substitution, sans qu'il soit nécessaire de devoir requérir au préalable une autorisation du juge ( ATF 126 III 230 consid. 7a p. 232/233). Le maître doit obligatoirement fixer à l'entrepreneur - sous la réserve des cas décrits à l' art. 108 CO - un délai d'exécution convenable et le menacer qu'à l'échéance du délai, s'il ne réagit pas, il fera appel aux services d'un tiers ( ZINDEL/PULVER, in Basler Kommentar, Obligationenrecht, vol. I, 5e éd. 2011, n° 36 ad art. 366 CO ; CHAIX, op. cit., n °s 33 et 34 ad art. 366 CO ). L'exécution par substitution ne revêt cependant pas un caractère exclusif. Le maître qui ne souhaite pas procéder à celle-ci après avoir fixé à l'entrepreneur un délai pour éliminer les défauts dispose également, comme en cas de retard dans la livraison ( art. 366 al. 1 CO ), des facultés offertes au créancier par l' art. 107 al. 2 CO ( ATF 126 III 230 consid. 7a/bb p. 235). Il incombe au maître de démontrer la réalisation des conditions d'application tant de l' art. 366 al. 1 CO que de l' art. 366 al. 2 CO (Zindel/Pulver, op. cit., n° 43 ad art. 366 CO ; Chaix, op. cit., n° 42 ad art. 366 CO ).</w:t>
      </w:r>
    </w:p>
    <w:p>
      <w:r>
        <w:rPr>
          <w:b/>
        </w:rPr>
        <w:t>E. 3.2</w:t>
      </w:r>
    </w:p>
    <w:p>
      <w:r>
        <w:t>En l'espèce, il a été retenu ( art. 105 al. 1 LTF ) que l'exécution des travaux de gypserie et de peinture a subi de très nombreux retards. Il était convenu que ces travaux se terminent en septembre 2007. Or ce terme n'a pas du tout été respecté, à telle enseigne qu'à réitérées reprises entre le 7 janvier 2008 et le 2 juin 2008 le recourant a reproché à l'intimée un avancement insuffisant du chantier. En outre, l'ouvrage exécuté par l'intimée a été bâclé, divers manquements dans l'exécution des travaux notamment de plâtrerie ayant été relevés par l'expert judiciaire et par les représentants des entreprises intervenues sur le chantier. Dans ce contexte particulier, le recourant avait le choix tout à la fois entre la résolution anticipée du contrat ( art. 366 al. 1 CO ) et l'exécution par un tiers ( art. 366 al. 2 CO ). Par courrier du 19 juillet 2008 adressé à la société à laquelle la direction des travaux avait été confiée, le recourant a fait savoir à celle-ci qu'il avait demandé à l'intimée de retirer avec effet immédiat tous ses ouvriers du chantier. Puisque le maître n'a aucunement laissé entendre que les ouvriers en question pourraient y revenir à certaines conditions, il apparaît avec netteté que le recourant a opté pour la résiliation anticipée du contrat instituée par l' art. 366 al. 1 CO . Toutefois, il n'a pas été prouvé que le recourant ait imparti préalablement à l'intimée un délai de grâce ( art. 107 al. 1 CO ) pour qu'elle achève l'ouvrage. Le recourant est d'avis que la fixation d'un tel délai aurait été une formalité inutile en raison de l'attitude adoptée par l'intimée ( art. 108 ch. 1 CO ). On ne saurait le suivre dans cette voie, du moment que l'intimée n'a jamais refusé d'exécuter l'ouvrage. Il est vrai qu'elle n'a pas respecté le terme de livraison prévu contractuellement, mais aucun élément du dossier ne démontre qu'il s'agissait d'un terme d'exécution qualifié ou terme fatal tel que le prévoit l' art. 108 ch. 3 CO (cf. sur cette notion LUC THÉVENOZ, in Commentaire romand, op. cit., n° 9 ad art. 108 CO ). Il suit de là que les conditions d'une résiliation anticipée du contrat d'entreprise dans le sens de l' art. 366 al. 1 CO n'étaient à l'évidence pas réunies. On peut ajouter qu'à supposer que le recourant ait fait le choix d'une exécution par substitution ( art. 366 al. 2 CO ), celle-ci n'aurait pas pu intervenir, faute pour le maître d'avoir adressé à l'intimée la sommation qu'exige sa mise en oeuvre. Partant, c'est sans violer le droit fédéral que la cour cantonale n'a pas fait application de l' art. 366 CO . Le moyen doit être rejeté.</w:t>
      </w:r>
    </w:p>
    <w:p>
      <w:r>
        <w:rPr>
          <w:b/>
        </w:rPr>
        <w:t>E. 4</w:t>
      </w:r>
    </w:p>
    <w:p>
      <w:r>
        <w:t>Le recourant prétend que les juges cantonaux ont appliqué à tort l' art. 377 CO à la résiliation du contrat. Il affirme que si les réquisits de l' art. 366 CO ne sont pas réalisés, cela ne doit pas conduire nécessairement à l'application de l' art. 377 CO , qui impose d'indemniser complètement l'entrepreneur. Il soutient qu'il n'a pas renoncé à la prestation de l'entrepreneur mais a demandé des dommages-intérêts compensatoires pour inexécution de l'obligation de faire de ce dernier.</w:t>
      </w:r>
    </w:p>
    <w:p>
      <w:r>
        <w:rPr>
          <w:b/>
        </w:rPr>
        <w:t>E. 4.1</w:t>
      </w:r>
    </w:p>
    <w:p>
      <w:r>
        <w:t>Selon l' art. 377 CO , tant que l'ouvrage n'est pas terminé, le maître peut toujours se départir du contrat, en payant le travail fait et en indemnisant complètement l'entrepreneur. Lorsque le maître résilie le contrat de manière anticipée en vertu de cette norme, les relations contractuelles entre les parties prennent fin pour l'avenir ( ex nunc ) ( ATF 130 III 362 consid. 4.2 p. 366 et les arrêts cités). Ce droit de résiliation appartient au maître aussi longtemps que l'ouvrage n'est pas terminé; dès que tous les travaux convenus sont effectivement terminés, que l'ouvrage soit ou non entaché de défauts, le droit de résiliation du maître est périmé ( ATF 117 II 273 consid. 4a p. 276; ZINDEL/PULVER, op. cit., n° 6 ad art. 377 CO ). L'"indemnité complète" due par le maître en vertu de l' art. 377 CO consiste en des dommages-intérêts positifs qui correspondent à l'intérêt de l'entrepreneur à l'exécution complète du contrat; elle comprend conséquemment le gain manqué ( ATF 96 II 192 consid. 5 p. 196). Deux méthodes peuvent être appliquées pour calculer cette indemnité: la méthode de la déduction (Abzugsmethode) dans laquelle sont soustraits du prix de l'ouvrage l'économie réalisée par l'entrepreneur ainsi que le gain qu'il s'est procuré ailleurs ou qu'il a délibérément renoncé à se procurer; la méthode dite positive (Additionsmethode) consiste à établir le total des dépenses de l'entrepreneur pour la partie de l'ouvrage qu'il a déjà exécutée et d'y ajouter le bénéfice brut manqué pour l'entier de l'ouvrage ( ATF 96 II 192 consid. 5a et 5b p. 196/197). Le Tribunal fédéral a laissé indécise la question de savoir laquelle de ces deux méthodes est préférable, étant donné qu'elles aboutissent pratiquement au même résultat et que le choix de l'une d'entre elles dépendra des circonstances d'espèce ( ATF 96 II 192 consid. 5b p. 197). Il est soutenu en doctrine que seule la méthode dite positive est conforme à l' art. 377 CO (cf. à ce propos ZINDEL/PULVER, op. cit., n° 17 ad art. 377 CO et les références). Le montant de l'indemnité due à l'entrepreneur ne saurait cependant dépasser le prix de l'ouvrage ( CHAIX, op. cit., n° 12 ad art. 377 CO ; ZINDEL/PULVER, op. cit., n° 15 ad art. 377 CO ). Le Tribunal fédéral a admis que l'indemnité due à l'entrepreneur en cas de résiliation d'après l' art. 377 CO peut être réduite ou supprimée si ce dernier, par son comportement fautif, a contribué dans une mesure importante à l'événement qui a poussé le maître à se départir du contrat. Toutefois, un motif susceptible de permettre la réduction, voire la suppression, de l'indemnité prévue par l' art. 377 CO ne peut pas résider dans la mauvaise exécution ou dans les retards imputables à l'entrepreneur survenant en cours de travaux, dès l'instant où de telles éventualités tombent sous le coup des règles spéciales de l' art. 366 CO . En d'autres termes, si le maître a la possibilité de résilier le contrat en vertu de l' art. 366 CO , en respectant les modalités prévues par cette disposition, et qu'il ne le fait pas, mais se départit du contrat selon l' art. 377 CO , il ne peut pas se libérer des conséquences légales de cette dernière norme - soit de l'obligation d'indemniser pleinement l'entrepreneur - même en cas de justes motifs (arrêts 4D_8/2008 du 31 mars 2008 consid. 3.4.1; 4C.393/2006 du 27 avril 2007 consid. 3.3.3 in fine; cf. TERCIER/FAVRE, Les contrats spéciaux, 4e éd. 2009, ch. 4810 p. 721; GAUCH, Der Werkvertrag, 5e éd. 2011, ch. 579 p. 229; GAUCH, Le contrat d'entreprise, op. cit., ch. 579 p. 175; CHAIX, op. cit., n° 18 ad art. 377 CO ). La perte de confiance du maître en l'entrepreneur ne saurait à elle seule constituer un motif suffisant pour permettre au premier de résilier le contrat sans devoir indemniser le second conformément à l' art. 377 CO (arrêts 4D_8/2008 du 31 mars 2008 déjà cité, ibidem; 4C.281/2005 du 15 décembre 2005 consid. 3.6, in SJ 2006 I p. 174; TERCIER, op. cit., ch. 4810 in fine p. 721; CHAIX, op. cit., n° 18 ad art. 377 CO ).</w:t>
      </w:r>
    </w:p>
    <w:p>
      <w:r>
        <w:rPr>
          <w:b/>
        </w:rPr>
        <w:t>E. 4.2</w:t>
      </w:r>
    </w:p>
    <w:p>
      <w:r>
        <w:t>En l'espèce, il résulte du courrier que le recourant a adressé le 19 juillet 2008 à la société qui assurait en sous-traitance la direction des travaux qu'il a résilié le contrat d'entreprise qui le liait à l'intimée - alors que l'ouvrage confié à celle-ci n'était pas terminé - en raison de l'exécution défectueuse des travaux par l'entrepreneur ainsi que des retards qui lui étaient imputables. Or ces deux motifs de résiliation (défauts et retard) donnaient la faculté au recourant de mettre un terme au contrat d'entreprise par application de la norme spécifique ancrée à l' art. 366 CO . Comme on l'a vu au considérant 3 ci-dessus, il n'a pas respecté les incombances de cette disposition. Le recourant n'invoque pas d'autres motifs pouvant justifier à eux seuls qu'il se départisse prématurément dudit contrat. Partant, au vu des principes jurisprudentiels et doctrinaux susrappelés, le recourant ne peut pas se prévaloir des défauts d'exécution et des retards de livraison comme motifs permettant de réduire, voire de supprimer, l'indemnité instaurée par l' art. 377 CO . Il ne lui est donc plus possible d'échapper à l'obligation d'indemniser complètement l'entrepreneur que prévoit cette norme. La cour cantonale a appliqué correctement l' art. 377 CO en condamnant le recourant à payer à l'intimée le solde restant dû sur les travaux initialement adjugés, lequel se monte à 269'746 fr.50 en capital. Le moyen est infondé.</w:t>
      </w:r>
    </w:p>
    <w:p>
      <w:r>
        <w:rPr>
          <w:b/>
        </w:rPr>
        <w:t>E. 5</w:t>
      </w:r>
    </w:p>
    <w:p>
      <w:r>
        <w:t>Se prévalant d'une transgression des art. 368 et 107 ss CO , le recourant soutient qu'il a renoncé à la prestation de l'intimée et qu'il a droit à des dommages-intérêts compensatoires correspondant à la contre-valeur de la prestation gratuite que celle-ci aurait dû fournir si elle avait exécuté son obligation de réparer l'ouvrage. Ce grief concerne l' art. 366 al. 1 CO - auquel le recourant se réfère d'ailleurs explicitement - et les règles générales sur la demeure des art. 107 à 109 CO qui complètent cette disposition (cf. à ce propos GAUCH, Le contrat d'entreprise, op. cit., ch. 867 p. 257). Du moment que l' art. 366 CO n'est pas applicable au litige, le moyen manque totalement sa cible.</w:t>
      </w:r>
    </w:p>
    <w:p>
      <w:r>
        <w:rPr>
          <w:b/>
        </w:rPr>
        <w:t>E. 6</w:t>
      </w:r>
    </w:p>
    <w:p>
      <w:r>
        <w:t>Invoquant une mauvaise application de l'art. 368 al. 2 in fine CO, le recourant reproche à l'autorité cantonale, en quelques lignes, d'avoir considéré que les seuls dommages-intérêts auxquels il pouvait prétendre étaient ceux prévus par la disposition précitée. In casu, la cour cantonale a accordé au recourant le remboursement des frais des expertises privées effectuées par G.________ et H.________ SA sur la base de l'art. 368 al. 2 in fine CO. Le recourant n'explique pas en quoi cette juridiction aurait violé cette norme en ne lui octroyant que le remboursement de ces frais. Le grief, à défaut d'une motivation conforme à l' art. 42 al. 1 et 2 LTF , est irrecevable.</w:t>
      </w:r>
    </w:p>
    <w:p>
      <w:r>
        <w:rPr>
          <w:b/>
        </w:rPr>
        <w:t>E. 7</w:t>
      </w:r>
    </w:p>
    <w:p>
      <w:r>
        <w:t>Le recourant affirme que les magistrats genevois n'ont pas tenu compte de la difficulté qu'il avait à estimer le dommage causé par l'intimée et qu'ils auraient dû ainsi faire application de l' art. 42 al. 2 CO . Il résulte des considérants qui précèdent que le maître, pour avoir résilié le contrat d'entreprise en vertu de l' art. 377 CO dans les circonstances de l'espèce, doit indemniser complètement l'entrepreneur, lequel n'a pas à verser à son ex-cocontractant des dommages-intérêts positifs. La détermination équitable du préjudice par le juge ne se pose ainsi nullement.</w:t>
      </w:r>
    </w:p>
    <w:p>
      <w:r>
        <w:rPr>
          <w:b/>
        </w:rPr>
        <w:t>E. 8</w:t>
      </w:r>
    </w:p>
    <w:p>
      <w:r>
        <w:t>A deux égards, le recourant se plaint enfin d'une appréciation arbitraire des preuves ( art. 9 Cst. ). 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137 I 58 consid. 4.1.2 p. 62; 136 III 552 consid. 4.2 p. 560; 134 V 53 consid. 4.3; 129 I 8 consid. 2.1).</w:t>
      </w:r>
    </w:p>
    <w:p>
      <w:r>
        <w:rPr>
          <w:b/>
        </w:rPr>
        <w:t>E. 8.1</w:t>
      </w:r>
    </w:p>
    <w:p>
      <w:r>
        <w:t>Le recourant fait valoir qu'il a opté pour la voie des dommages-intérêts compensatoires dans l'écriture qu'il a adressée à D.________ SA le 28 juillet 2008. En retenant qu'il n'a pas manifesté la volonté d'exercer le choix que confère la loi au créancier, l'autorité cantonale aurait versé dans l'arbitraire. Comme on l'a vu, c'est le recourant qui doit une pleine indemnité à l'intimée, et non l'inverse. Cette considération vide le grief de toute sa substance.</w:t>
      </w:r>
    </w:p>
    <w:p>
      <w:r>
        <w:rPr>
          <w:b/>
        </w:rPr>
        <w:t>E. 8.2</w:t>
      </w:r>
    </w:p>
    <w:p>
      <w:r>
        <w:t>Pour le recourant, la cour cantonale aurait fait montre d'arbitraire en admettant que la preuve de son dommage concret était possible et qu'il n'y avait pas lieu de procéder à une appréciation estimative du préjudice. Du moment que l'intimée n'a pas à indemniser le recourant - hormis en ce qui concerne le remboursement des frais d'expertise privée -, la question de la preuve du prétendu dommage subi par celui-ci n'a aucune influence sur le sort du litige ( art. 97 al. 1 LTF ).</w:t>
      </w:r>
    </w:p>
    <w:p>
      <w:r>
        <w:rPr>
          <w:b/>
        </w:rPr>
        <w:t>E. 9</w:t>
      </w:r>
    </w:p>
    <w:p>
      <w:r>
        <w:t>En définitive, le recours doit être rejeté dans la mesure de sa recevabilité. Le recourant, qui succombe, paiera l'émolument judiciaire et versera une indemnité à titre de dépens à l'intimée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