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4A_95/2025 vom 24. Juni 2025</w:t>
      </w:r>
    </w:p>
    <w:p>
      <w:r>
        <w:t>Bundesgericht, 2025-06-24, FR</w:t>
      </w:r>
    </w:p>
    <w:p>
      <w:r>
        <w:rPr>
          <w:b/>
        </w:rPr>
        <w:t xml:space="preserve">Quelle: </w:t>
      </w:r>
      <w:r>
        <w:t>https://mcp.opencaselaw.ch/entscheid/bger_4A_95_2025</w:t>
      </w:r>
    </w:p>
    <w:p>
      <w:r>
        <w:t>FR: TF 4A_95/2025 du 24 juin 2025</w:t>
      </w:r>
    </w:p>
    <w:p>
      <w:r>
        <w:t>IT: TF 4A_95/2025 del 24 giugno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celles-ci se sont servies de l'anglais, tandis que, dans les mémoires qu'elles ont adressés au Tribunal fédéral, elles ont employé le français.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Genève. L'une des parties au moins n'avait pas son siège en Suisse au moment déterminant. Les dispositions du chapitre 12 de la LDIP sont donc applicables ( art. 176 al. 1 LDIP ).</w:t>
      </w:r>
    </w:p>
    <w:p>
      <w:r>
        <w:rPr>
          <w:b/>
        </w:rPr>
        <w:t>E. 3</w:t>
      </w:r>
    </w:p>
    <w:p>
      <w:r>
        <w:t>Qu'il s'agisse de l'objet du recours, de la qualité pour recourir, du délai de recours ou encore des conclusions prises par la recourante, aucune de ces conditions de recevabilité ne fait problème en l'espèce. Demeure toutefois réservé l'examen de la recevabilité des critiques formulées par l'intéressée.</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4.2;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divisé en plusieurs branches, la recourante soutient que la sentence querellée est contraire à l'ordre public matériel visé par l' art. 190 al. 2 let . e LDIP.</w:t>
      </w:r>
    </w:p>
    <w:p>
      <w:r>
        <w:rPr>
          <w:b/>
        </w:rPr>
        <w:t>E. 5.1</w:t>
      </w:r>
    </w:p>
    <w:p>
      <w:r>
        <w:t>Une sentence est incompatible avec l'ordre public matériel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4A_152/2024 du 23 octobre 2024 consid. 6.1.1; 4A_116/2016 du 13 décembre 2016 consid. 4.1; 4A_304/2013 du 3 mars 2014 consid. 5.1.1; 4A_458/2009 du 10 juin 2010 consid. 4.1).</w:t>
      </w:r>
    </w:p>
    <w:p>
      <w:r>
        <w:t>Pour juger si la sentence est compatible avec l'ordre public matériel,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rPr>
          <w:b/>
        </w:rPr>
        <w:t>E. 5.2</w:t>
      </w:r>
    </w:p>
    <w:p>
      <w:r>
        <w:t>En premier lieu, la recourante reproche à l'arbitre d'avoir enfreint le principe de la fidélité contractuelle.</w:t>
      </w:r>
    </w:p>
    <w:p>
      <w:r>
        <w:rPr>
          <w:b/>
        </w:rPr>
        <w:t>E. 5.2.1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4A_638/2024 du 27 mars 2025 consid. 5.2 et les références citées).</w:t>
      </w:r>
    </w:p>
    <w:p>
      <w:r>
        <w:rPr>
          <w:b/>
        </w:rPr>
        <w:t>E. 5.2.2</w:t>
      </w:r>
    </w:p>
    <w:p>
      <w:r>
        <w:t>Selon la recourante, l'arbitre aurait bafoué le principe de la fidélité contractuelle en tranchant le litige qui lui était soumis sur la base des règles du Code des obligations suisse (CO; RS 220) alors que la clause d'élection de droit insérée dans le contrat d'achat commandait, en réalité, l'application de la Convention des Nations Unies sur les contrats de vente internationale de marchandises du 11 avril 1980 (CVIM; RS 0.221.211.1). Elle aurait ainsi fait abstraction des règles de droit choisies par les parties pour leur substituer un "faux droit", à savoir les dispositions du CO.</w:t>
      </w:r>
    </w:p>
    <w:p>
      <w:r>
        <w:rPr>
          <w:b/>
        </w:rPr>
        <w:t>E. 5.2.3</w:t>
      </w:r>
    </w:p>
    <w:p>
      <w:r>
        <w:t>Tel qu'il est présenté, le grief ne saurait prospérer.</w:t>
      </w:r>
    </w:p>
    <w:p>
      <w:r>
        <w:t>En l'occurrence, l'arbitre a indiqué dans la sentence attaquée, sous la rubrique intitulée "The Arbitration Agreement and the law governing the merits", que le contrat d'achat contenait une clause ayant la teneur suivante: "[This Contract] shall be governed by and interpreted in accordance with the laws of Switzerland, without regard to its conflict of laws principles" (n. 15). Sur la base de ce constat, elle a réglé le litige qui lui était soumis en appliquant certaines règles du droit interne suisse, soit en l'occurrence diverses dispositions du CO. Ce faisant, elle n'a nullement enfreint le principe de la fidélité contractuelle au sens restrictif que lui donne la jurisprudence relative à l' art. 190 al. 2 let . e LDIP.</w:t>
      </w:r>
    </w:p>
    <w:p>
      <w:r>
        <w:t>En argumentant comme elle le fait, la recourante méconnaît totalement la notion spécifique de fidélité contractuelle, rappelée ci-dessus, puisqu'elle s'en sert, en réalité, pour tenter de détourner l'interdiction de critiquer l'application du droit matériel dans un recours en matière civile dirigé contre une sentence arbitrale internationale, respectivement pour s'en prendre au choix des normes faisant partie de l'ordre juridique suisse jugées pertinentes par l'arbitre pour résoudre le litige divisant les parties. En l'occurrence, la lecture de la sentence attaquée permet de constater que l'arbitre n'a visiblement pas considéré que la clause d'élection de droit figurant dans le contrat d'achat devait entraîner l'application des règles de la CVIM, étant précisé ici que les parties ne prétendent à aucun moment, dans leurs écritures, avoir soutenu, lors de la procédure d'arbitrage, que de telles règles étaient censées trouver application. Juste ou fausse, soutenable ou non, l'appréciation juridique de l'arbitre quant aux normes applicables en l'espèce ne peut pas être revue par le Tribunal fédéral lorsqu'il examine si la sentence attaquée contrevient à l'ordre public matériel au sens de l' art. 190 al. 2 let . e LDIP. Dès lors, tous les arguments avancés par la recourante à l'effet de démontrer que l'élection de droit contenue dans le contrat d'achat aurait dû conduire l'arbitre à appliquer les règles de la CVIM, au lieu des dispositions du CO, tombent à faux. C'est le lieu de souligner enfin que le moyen pris de l'incompatibilité avec l'ordre public matériel, au sens de l' art. 190 al. 2 let . e LDIP et de la jurisprudence y afférente, n'est pas recevable dans la mesure où il tend uniquement à établir la contrariété entre la sentence attaquée et les différentes normes du droit matériel applicable, et ce quel que puisse être le degré de cette contrariété, à la supposer établie (arrêt 4A_396/2024 du 18 novembre 2024 consid. 5.4 et les références citées).</w:t>
      </w:r>
    </w:p>
    <w:p>
      <w:r>
        <w:rPr>
          <w:b/>
        </w:rPr>
        <w:t>E. 5.3</w:t>
      </w:r>
    </w:p>
    <w:p>
      <w:r>
        <w:t>En second lieu, la recourante soutient que la sentence entreprise est contraire à l'ordre public matériel ( art. 190 al. 2 let . e LDIP), car elle la condamne à honorer des créances prohibées au regard du régime de sanctions mis en place tant par l'UE que par la Confédération suisse à l'égard de la Russie en lien avec la situation en Ukraine.</w:t>
      </w:r>
    </w:p>
    <w:p>
      <w:r>
        <w:rPr>
          <w:b/>
        </w:rPr>
        <w:t>E. 5.3.1</w:t>
      </w:r>
    </w:p>
    <w:p>
      <w:r>
        <w:t>Sur le plan européen, la recourante souligne que l'UE, en date du 7 octobre 2022, a modifié le Règlement n. 833/2014 du 31 juillet 2014 concernant des mesures restrictives eu égard aux actions de la Russie déstabilisant la situation en Ukraine (ci-après: le Règlement n. 833/2014) en plaçant les produits chimiques sur la liste des "biens qui génèrent d'importantes recettes pour la Russie et qui lui permettent ainsi de mettre en oeuvre ses actions déstabilisant la situation en Ukraine" énumérés à l'annexe XXI dudit règlement. À compter de cette date, il était ainsi interdit d'acheter, d'importer ou de transférer, directement ou indirectement, dans l'UE, les produits chimiques si ceux-ci étaient originaires de Russie ou exportés de cet État (art. 3 decies par. 1 du Règlement n. 833/2014) et de fournir divers services en relation avec de tels biens (cf. art. 3 decies par. 2 du Règlement n. 833/2014), cette interdiction ne s'appliquant toutefois pas à l'exécution, jusqu'au 8 janvier 2023, de contrats conclus avant le 7 octobre 2022, ou de contrats accessoires nécessaires à l'exécution de tels contrats (art. 3 decies par. 3 ter du Règlement n. 833/2014 [disposition abrogée le 23 juin 2023]).</w:t>
      </w:r>
    </w:p>
    <w:p>
      <w:r>
        <w:rPr>
          <w:b/>
        </w:rPr>
        <w:t>E. 5.3.2</w:t>
      </w:r>
    </w:p>
    <w:p>
      <w:r>
        <w:t>En Suisse, la recourante expose que l'ordonnance du Conseil fédéral du 4 mars 2022 instituant des mesures en lien avec la situation en Ukraine (RS 946.231.176.72; ci-après: l'Ordonnance du Conseil fédéral) a été modifiée le 23 novembre 2022 (RO 2022 708), raison pour laquelle les produits chimiques ont été ajoutés à la liste de "biens importants sur le plan économique pour la Fédération de Russie" figurant à l'annexe 20 de ladite ordonnance (position n. 3824). Dès le 23 novembre 2022, à 18h00, les interdictions prévues à l'art. 14c al. 1 (achat de biens importants sur le plan économique pour la Fédération de Russie originaires ou provenant de ce pays ainsi que l'importation, le transit et le transport de ces biens en Suisse et par la Suisse) et à l'art. 14c al. 2 de l'Ordonnance du Conseil fédéral (fourniture, directe ou indirecte, de services de toute sorte, y compris l'assistance technique et les services de courtage, ainsi que l'octroi de moyens financiers en lien avec l'achat, l'importation, le transit et le transport en Suisse et par la Suisse de biens visés à l'art. 14c al. 1, ou encore avec la fourniture, la fabrication, l'entretien ou l'utilisation desdits biens) étaient donc applicables aux sujets de droit établis en Suisse.</w:t>
      </w:r>
    </w:p>
    <w:p>
      <w:r>
        <w:rPr>
          <w:b/>
        </w:rPr>
        <w:t>E. 5.3.3</w:t>
      </w:r>
    </w:p>
    <w:p>
      <w:r>
        <w:t>Dans ses écritures, la recourante reproche à l'arbitre d'avoir ignoré, d'une manière choquante, les règles impératives adoptées par la Suisse et lui fait grief d'avoir enfreint l'ordre public matériel en rendant une sentence qui a pour effet de la forcer à honorer une créance prohibée selon l'art. 30 de l'Ordonnance du Conseil fédéral. Insistant sur le fait que les dispositions du droit suisse doivent être interprétées à la lumière des règles édictées par l'UE, elle prétend que l'art. 14c al. 1 et 2 de l'Ordonnance du Conseil fédéral excluait, dès le 22 novembre 2022, la conclusion de nouveaux contrats de vente - à l'instar des bons de commande ("Purchase Orders") - et la fourniture de services de toute sorte, même si les biens concernés n'étaient pas destinés à un État membre de l'UE. Dans ces circonstances, la recourante soutient que l'exécution du contrat d'achat est devenue impossible à partir du 22 novembre 2022. Elle affirme en outre que l'exception prévue à l'art. 35 al. 23 de l'Ordonnance du Conseil fédéral (disposition adoptée le 22 novembre 2022 et abrogée le 16 août 2023 à 18 heures [RO 2023 452]) - en vertu de laquelle l'art. 14c de ladite ordonnance ne s'appliquait pas aux opérations régies par un contrat antérieur au 24 novembre 2022 et exécutées jusqu'au 4 février 2023 en vue de l'achat de biens comme les produits chimiques et de l'importation, du transit et du transport de tels biens en Suisse et par la Suisse - n'était pas applicable en l'espèce. Se référant en particulier à un document établi par la Commission européenne ("Commission Consolidated FAQs on the implementation of Council Regulation No 833/2014 et Council Regulation No 269/2014"), la recourante fait valoir qu'il lui serait de toute manière interdit, selon l'art. 30 de l'Ordonnance du Conseil fédéral, d'honorer une créance découlant du contrat d'achat.</w:t>
      </w:r>
    </w:p>
    <w:p>
      <w:r>
        <w:t>La recourante se plaint, par ailleurs, de ce que l'arbitre n'aurait pas procédé à un examen complet de la situation au regard des dispositions pertinentes du Règlement n. 833/2014. Elle s'attelle ensuite à démontrer que la sentence attaquée est contraire à l'ordre public matériel car elle est le fruit d'une " application bâclée du droit européen ".</w:t>
      </w:r>
    </w:p>
    <w:p>
      <w:r>
        <w:rPr>
          <w:b/>
        </w:rPr>
        <w:t>E. 5.4</w:t>
      </w:r>
    </w:p>
    <w:p>
      <w:r>
        <w:t>Semblable argumentation est impropre à établir une incompatibilité de la sentence querellée avec l'ordre public matériel visé par l' art. 190 al. 2 let . e LDIP.</w:t>
      </w:r>
    </w:p>
    <w:p>
      <w:r>
        <w:rPr>
          <w:b/>
        </w:rPr>
        <w:t>E. 5.4.1</w:t>
      </w:r>
    </w:p>
    <w:p>
      <w:r>
        <w:t>Force est d'emblée de relever que certaines doléances de la recourante formulées pour la première fois devant le Tribunal fédéral soulèvent des interrogations, notamment au regard des règles de la bonne foi. Il faut en effet bien voir que l'intéressée n'a jamais prétendu, au cours du dernier trimestre de l'année 2022, que les nouvelles mesures adoptées en novembre 2022 par le Conseil fédéral rendaient l'exécution du contrat d'achat impossible, respectivement l'empêchaient de régler les montants dus pour les commandes passées le 31 octobre 2022. La recourante n'a pas davantage soutenu, durant la procédure d'arbitrage, que la réglementation adoptée par la Suisse ne lui permettait pas d'honorer les prétentions élevées par les intimées à son encontre. Aussi est-elle particulièrement malvenue de venir s'en plaindre, pour la première fois devant le Tribunal fédéral, alors qu'elle a eu tout loisir de le faire devant l'arbitre.</w:t>
      </w:r>
    </w:p>
    <w:p>
      <w:r>
        <w:t>Par ailleurs, lorsqu'elle reproche en substance à l'arbitre de n'avoir pas examiné spontanément le litige sous tous ses aspects juridiques, la recourante avance un argument qui ne s'inscrit pas dans les limites du cadre tracé par l' art. 190 al. 2 let . e LDIP.</w:t>
      </w:r>
    </w:p>
    <w:p>
      <w:r>
        <w:rPr>
          <w:b/>
        </w:rPr>
        <w:t>E. 5.4.2</w:t>
      </w:r>
    </w:p>
    <w:p>
      <w:r>
        <w:t>À en croire la recourante, le fait qu'un tribunal arbitral ait, par hypothèse, rendu une sentence allant à l'encontre de certaines dispositions de l'arsenal de sanctions - européen ou suisse - visant un État déterminé doit nécessairement conduire au constat qu'une telle décision est</w:t>
      </w:r>
    </w:p>
    <w:p>
      <w:r>
        <w:t>per se contraire à l'ordre public matériel au sens de l' art. 190 al. 2 let . e LDIP. Il ne faut toutefois pas perdre de vue que la circonstance selon laquelle une disposition impérative de droit suisse relève par hypothèse de l'ordre public helvétique n'implique pas forcément que la violation d'une telle règle contreviendrait à l'ordre public matériel visé par l' art. 190 al. 2 let . e LDIP (arrêt 4A_456/2022 du 23 février 2023 consid. 5.2 et la référence citée). D'une manière générale, il sied en outre de rappeler que le motif de recours prévu par cette disposition ne tend pas à protéger l'ordre juridique suisse, pas plus qu'il ne vise à sanctionner le défaut d'application ou la mauvaise application du droit étranger applicable au fond du litige, fût-il impératif, ni l'absence de prise en considération d'une loi de police ou d'application immédiate d'un État tiers ( ATF 132 III 389 consid. 2.2.2). Ces éléments commandent ainsi d'écarter la thèse selon laquelle la violation de normes réglementaires adoptées dans le cadre d'un régime de sanctions constituerait</w:t>
      </w:r>
    </w:p>
    <w:p>
      <w:r>
        <w:t>ipso facto une atteinte à l'ordre public matériel visé par l' art. 190 al. 2 let . e LDIP. Il n'appartient du reste pas au Tribunal fédéral, lorsqu'il est saisi d'un recours dirigé contre une sentence arbitrale internationale, d'examiner la manière dont il convient d'interpréter les dispositions de l'Ordonnance du Conseil fédéral ou celles du Règlement n. 833/2014, raison pour laquelle l'argumentation développée à ce sujet par la partie recourante ne saurait prospérer.</w:t>
      </w:r>
    </w:p>
    <w:p>
      <w:r>
        <w:rPr>
          <w:b/>
        </w:rPr>
        <w:t>E. 5.4.3</w:t>
      </w:r>
    </w:p>
    <w:p>
      <w:r>
        <w:t>En tout état de cause, le Tribunal fédéral considère, à titre superfétatoire, sur le vu des explications avancées par la recourante - soigneusement contredites par les intimées -, que l'intéressée a échoué à établir que le résultat auquel a abouti l'arbitre contreviendrait aux normes pertinentes de l'Ordonnance du Conseil fédéral. Il ne discerne au demeurant pas les raisons qui justifieraient d'appliquer le Règlement n. 833/2014 dans la présente cause, étant donné qu'aucune des parties au litige n'a son siège dans un État membre de l'UE, que le contrat d'achat obéit aux règles du droit suisse et que le siège de l'arbitrage se trouve en Suisse.</w:t>
      </w:r>
    </w:p>
    <w:p>
      <w:r>
        <w:t>Au vu de ce qui précède, il n'apparaît pas, eu égard aux explications fournies par la recourante, que l'arbitre ait rendu une sentence dont le résultat serait incompatible avec l'ordre public matériel visé par l' art. 190 al. 2 let . e LDIP. Cela étant, le recours ne peut qu'être rejeté dans la mesure de sa recevabilité.</w:t>
      </w:r>
    </w:p>
    <w:p>
      <w:r>
        <w:rPr>
          <w:b/>
        </w:rPr>
        <w:t>E. 6</w:t>
      </w:r>
    </w:p>
    <w:p>
      <w:r>
        <w:t>La recourante, qui succombe, supportera les frais de la présente procédure ( art. 66 al. 1 LTF ) et versera des dépens aux intimées, créancières solidaires de l'indemnité qui leur est due à ce titre ( art. 68 al. 1 et 2 LTF ).</w:t>
      </w:r>
    </w:p>
    <w:p>
      <w:r>
        <w:t>Dans leur mémoire de réponse, les intimées ont présenté une requête de sûretés en garantie de leurs dépens. Selon la jurisprudence, seuls des frais futurs, postérieurs à la demande de sûretés, peuvent être couverts par cette garantie ( ATF 132 I 134 consid. 2.2; arrêts 4A_230/2023 du 7 juin 2023 consid. 7; 4A_46/2015 du 27 mars 2015 consid. 3 non publié in ATF 141 III 155 ; 4A_128/2014 du 16 décembre 2014 consid. 1). La partie intimée qui entend obtenir des sûretés doit donc les requérir avant de procéder devant le Tribunal fédéral. La requête de sûretés formée par les intimées dans leur mémoire de réponse est dès lors sans objet ( ATF 132 I 134 consid. 2.2; 118 II 87 consid. 2; G RÉGORY BOVEY, Commentaire de la LTF, 3e éd. 2022, n o 25 ad art. 62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