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95/2018 vom 5. April 2018</w:t>
      </w:r>
    </w:p>
    <w:p>
      <w:r>
        <w:t>Bundesgericht, 2018-04-05, IT</w:t>
      </w:r>
    </w:p>
    <w:p>
      <w:r>
        <w:rPr>
          <w:b/>
        </w:rPr>
        <w:t xml:space="preserve">Quelle: </w:t>
      </w:r>
      <w:r>
        <w:t>https://mcp.opencaselaw.ch/entscheid/bger_4A_95_2018</w:t>
      </w:r>
    </w:p>
    <w:p>
      <w:r>
        <w:t>FR: TF 4A 95/2018 du 5 avril 2018</w:t>
      </w:r>
    </w:p>
    <w:p>
      <w:r>
        <w:t>IT: TF 4A 95/2018 del 5 aprile 2018</w:t>
      </w:r>
    </w:p>
    <w:p>
      <w:pPr>
        <w:pStyle w:val="Heading2"/>
      </w:pPr>
      <w:r>
        <w:t>Regeste</w:t>
      </w:r>
    </w:p>
    <w:p>
      <w:r>
        <w:t>istanza di semplificazione della procedura con richiesta di cauzione per spese ripetibili | Diritto delle obbligazioni (in generale)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 Losanna, 5 aprile 2018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