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4A_95/2014 vom 10. Juli 2014</w:t>
      </w:r>
    </w:p>
    <w:p>
      <w:r>
        <w:t>Bundesgericht, 2014-07-10, DE</w:t>
      </w:r>
    </w:p>
    <w:p>
      <w:r>
        <w:rPr>
          <w:b/>
        </w:rPr>
        <w:t xml:space="preserve">Quelle: </w:t>
      </w:r>
      <w:r>
        <w:t>https://mcp.opencaselaw.ch/entscheid/bger_4A_95_2014</w:t>
      </w:r>
    </w:p>
    <w:p>
      <w:r>
        <w:t>FR: TF 4A_95/2014 du 10 juillet 2014</w:t>
      </w:r>
    </w:p>
    <w:p>
      <w:r>
        <w:t>IT: TF 4A_95/2014 del 10 luglio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Der Beschwerdeführer wirft der Vorinstanz eine Verletzung von Art. 169 OR und Art. 86 SchKG vor.</w:t>
      </w:r>
    </w:p>
    <w:p>
      <w:r>
        <w:rPr>
          <w:b/>
        </w:rPr>
        <w:t>E. 2.1</w:t>
      </w:r>
    </w:p>
    <w:p>
      <w:r>
        <w:t>Die Vorinstanz, die im Übrigen auf die Begründung der Erstinstanz verwies, ging davon aus, dass die Beschwerdegegnerin verrechenbare Forderungen im Sinne von Art. 120 OR von mehr als Fr. 2 Mio. gegenüber der C.________ AG hatte. Sie erachtete die Argumentation des Beschwerdeführers für unbehelflich, die Abtretung dürfe keine Besserstellung des Schuldners bewirken, die er darin erblickte, dass die Beschwerdegegnerin ihren Rückforderungsanspruch nach Art. 86 SchKG gegen einen solventen Beklagten geltend machen könne, während sie ohne Abtretung höchstens eine Konkursdividende erhalten hätte. Die Vorinstanz erwog, Art. 169 OR diene entgegen der Ansicht des Beschwerdeführers nicht dem Schutz des solventen Zessionars zulasten des Schuldners; die Bestimmung schliesse die Möglichkeit einer Besserstellung des Schuldners, wie sie konkret geltend gemacht werde, notwendigerweise mit ein.</w:t>
      </w:r>
    </w:p>
    <w:p>
      <w:r>
        <w:t>Der Beschwerdegegnerin sei schon vor der fraglichen Abtretung der Parteientschädigungen die Verrechnungsbefugnis zugestanden; der Beschwerdeführer habe daher einredebelastete Forderungen abgetreten erhalten, gegenüber denen die Beschwerdegegnerin nach Art. 169 OR die Verrechnungseinrede habe erheben können. Diese habe daher unter dem Zwang des Vollstreckungsverfahrens eine Nichtschuld bezahlt, für die der betreibende Beschwerdeführer nach Art. 86 SchKG rückzahlungspflichtig sei.</w:t>
      </w:r>
    </w:p>
    <w:p>
      <w:r>
        <w:rPr>
          <w:b/>
        </w:rPr>
        <w:t>E. 2.2</w:t>
      </w:r>
    </w:p>
    <w:p>
      <w:r>
        <w:t>Im bundesgerichtlichen Beschwerdeverfahren ist nicht mehr strittig, dass der Beschwerdegegnerin im Zeitpunkt der Abtretung der Parteientschädigungen eine verrechenbare Gegenforderung gegenüber der C.________ AG zustand, die den Gesamtbetrag der gerichtlich zugesprochenen Parteientschädigungen überstieg. Ebenso wenig ist die Höhe des eingeklagten Betrags umstritten. Der Beschwerdeführer beruft sich vor Bundesgericht vielmehr einzig darauf, die Beschwerdegegnerin könne eine Rückforderungsklage nicht gegenüber ihm als Zessionar geltend machen, sondern hätte sich für die Rückforderung an die Zedentin C.________ AG halten müssen.</w:t>
      </w:r>
    </w:p>
    <w:p>
      <w:r>
        <w:rPr>
          <w:b/>
        </w:rPr>
        <w:t>E. 2.3</w:t>
      </w:r>
    </w:p>
    <w:p>
      <w:r>
        <w:t>Der Beschwerdeführer beruft sich zunächst vergeblich auf Art. 169 OR , aus dem folge, dass die Rechtsstellung des Schuldners durch die Abtretung nicht verschlechtert, aber auch nicht verbessert werden dürfe. Zwar trifft zu, dass der Schuldner insofern nicht von der Abtretung soll profitieren können, als ihm Verteidigungsmittel verwehrt sein sollen, die ihm auch dann nicht (gegen den Zedenten) zur Verfügung stehen würden, wenn die Zession nicht stattgefunden hätte ( DANIEL GIRSBERGER, in: Basler Kommentar, 5. Aufl. 2011, N. 1 zu Art. 169 OR ). Der Umstand, dass der Zessionar gegebenenfalls eine höhere Bonität aufweist als der Zedent, bedeutet jedoch keine Verbesserung der Rechtsstellung des Schuldners, sondern stellt gegebenenfalls - im Hinblick auf einen möglichen Rückforderungsanspruch - eine tatsächliche Besserstellung dar, die nach der Zweckbestimmung von Art. 169 OR nicht verhindert werden soll.</w:t>
      </w:r>
    </w:p>
    <w:p>
      <w:r>
        <w:t>Entgegen der in der Beschwerde vertretenen Ansicht lässt sich daher aus Art. 169 OR nichts zu seinen Gunsten ableiten. Der Vorinstanz ist keine Verletzung dieser Bestimmung vorzuwerfen, wenn sie davon ausging, der Beschwerdeführer habe als Zessionar einredebelastete Forderungen erhalten und sie die Verrechnungseinrede der Beschwerdegegnerin gegenüber den Abtretungsforderungen als wirksam erachtete.</w:t>
      </w:r>
    </w:p>
    <w:p>
      <w:r>
        <w:t>Hielt die Beschwerdegegnerin den vom Beschwerdeführer erworbenen Forderungen auf Zahlung einer Parteientschädigung wirksam die Verrechnungseinredeentgegen, schuldete sie ihm nichts bzw. nichts mehr.</w:t>
      </w:r>
    </w:p>
    <w:p>
      <w:r>
        <w:rPr>
          <w:b/>
        </w:rPr>
        <w:t>E. 2.4.1</w:t>
      </w:r>
    </w:p>
    <w:p>
      <w:r>
        <w:t>Wurde der Rechtsvorschlag unterlassen oder durch Rechtsöffnung beseitigt, so kann derjenige, welcher infolgedessen eine Nichtschuld bezahlt hat, den bezahlten Betrag nach Art. 86 Abs. 1 SchKG zurückfordern. In Abweichung von Art. 63 OR ist dieses Rückforderungsrecht von keiner anderen Voraussetzung als dem Nachweis der Nichtschuld abhängig ( Art. 86 Abs. 3 SchKG ; vgl. auch Art. 63 Abs. 3 OR ). Dieser Rechtsbehelf ist in der Eigenart des schweizerischen Systems der Schuldbetreibung begründet; er wird jenem Betriebenen als letztes Mittel zur Verfügung gestellt, der unter dem Zwang des Betreibungsverfahrens den Betreibenden befriedigt hat, obwohl die in Betreibung gesetzte Forderung der materiellrechtlichen Grundlage entbehrt. Der Zweck von Art. 86 SchKG besteht darin, dem Schuldner in einem solchen Fall im Sinne einer</w:t>
      </w:r>
    </w:p>
    <w:p>
      <w:r>
        <w:t>restitutio in integrum die Rückforderung zu ermöglichen ( BGE 131 III 586 E. 2.1 S. 589 mit Hinweisen).</w:t>
      </w:r>
    </w:p>
    <w:p>
      <w:r>
        <w:t>Passivlegitimiert ist der Betreibende oder seine Rechtsnachfolger (Bernhard Bodmer/Jan Bangert, in: Basler Kommentar, 2. Aufl. 2010, N. 22 zu Art. 86 SchKG mit Hinweis auf BGE 60 III 124 S. 127 f. bezüglich der Ausnahme der Zahlung an den betreibenden Inkassomandatar nach Art. 131 Abs. 2 SchKG , der nicht eine eigene, sondern eine fremde Forderung geltend macht [Urteil 4A_215/2009 vom 6. August 2009 E. 3.2]; François Bohnet, Actions civiles, 2014, § 120 Rz. 12; Dominik Vock/Danièle Müller, SchKG-Klagen nach der Schweizerischen ZPO, 2012, Rz. 163; Jolanta Kren Kostkiewicz/Hans Ulrich Walder, Kommentar SchKG, 18. Aufl. 2012, N. 8 zu Art. 86 SchKG ; Pierre-Robert Gilliéron, Commentaire de la loi fédérale sur la poursuite pour dettes et la faillite, 1999, N. 15, 18, 49, 63 und 73 zu Art. 86 SchKG ).</w:t>
      </w:r>
    </w:p>
    <w:p>
      <w:r>
        <w:rPr>
          <w:b/>
        </w:rPr>
        <w:t>E. 2.4.2</w:t>
      </w:r>
    </w:p>
    <w:p>
      <w:r>
        <w:t>Der Beschwerdeführer verkennt diese Eigenheiten der Rückforderungsklage nach Art. 86 SchKG , wenn er zur Begründung seiner Beschwerdeeingabe auf die bundesgerichtliche Rechtsprechung zur bereicherungsrechtlichen Rückabwicklung in Anweisungsfällen ( BGE 121 III 109 ; 117 II 404 ; 116 II 689 ) bzw. die deutsche Literatur und Rechtsprechung (etwa BGHZ 105, 365) zur bereicherungsrechtlichen Behandlung von weiteren Dreieckskonstellationen ohne betreibungsrechtlichen Bezug verweist, die er für wirtschaftlich vergleichbar hält.</w:t>
      </w:r>
    </w:p>
    <w:p>
      <w:r>
        <w:t>Nach den verbindlichen Sachverhaltsfeststellungen der Vorinstanz ( Art. 105 Abs. 1 BGG ) hat der Beschwerdeführer die Beschwerdegegnerin im Umfang der abgetretenen Forderungen betrieben; dabei hat er als Zessionar und damit neuer Gläubiger eigene Rechte geltend gemacht. Nachdem jeweils Rechtsvorschlag erhoben und dem Beschwerdeführer Rechtsöffnung erteilt worden war, zahlte ihm die Beschwerdegegnerin die geforderten Beträge, obwohl sie ihm aufgrund der erklärten Verrechnung nichts schuldete. Damit sind die Voraussetzungen von Art. 86 Abs. 1 SchKG erfüllt und die Vorinstanz hat die Rückforderungsklage gegenüber dem Beschwerdeführer zutreffend gutgeheissen.</w:t>
      </w:r>
    </w:p>
    <w:p>
      <w:r>
        <w:t>Eine Verletzung von Art. 86 SchKG liegt nicht vor.</w:t>
      </w:r>
    </w:p>
    <w:p>
      <w:r>
        <w:rPr>
          <w:b/>
        </w:rPr>
        <w:t>E. 3</w:t>
      </w:r>
    </w:p>
    <w:p>
      <w:r>
        <w:t>Die Beschwerde erweist sich als unbegründet und ist abzuweisen.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