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4A_95/2007 vom 21. Juni 2007</w:t>
      </w:r>
    </w:p>
    <w:p>
      <w:r>
        <w:t>Bundesgericht, 2007-06-21, FR</w:t>
      </w:r>
    </w:p>
    <w:p>
      <w:r>
        <w:rPr>
          <w:b/>
        </w:rPr>
        <w:t xml:space="preserve">Quelle: </w:t>
      </w:r>
      <w:r>
        <w:t>https://mcp.opencaselaw.ch/entscheid/bger_4A_95_2007</w:t>
      </w:r>
    </w:p>
    <w:p>
      <w:r>
        <w:t>FR: TF 4A_95/2007 du 21 juin 2007</w:t>
      </w:r>
    </w:p>
    <w:p>
      <w:r>
        <w:t>IT: TF 4A_95/2007 del 21 giugno 2007</w:t>
      </w:r>
    </w:p>
    <w:p>
      <w:pPr>
        <w:pStyle w:val="Heading2"/>
      </w:pPr>
      <w:r>
        <w:t>Erwägungen</w:t>
      </w:r>
    </w:p>
    <w:p>
      <w:r>
        <w:rPr>
          <w:b/>
        </w:rPr>
        <w:t>E. 1</w:t>
      </w:r>
    </w:p>
    <w:p>
      <w:r>
        <w:t>Comme la décision attaquée a été rendue après l'entrée en vigueur, le 1er janvier 2007 (RO 2006, 1242), de la loi fédérale sur le Tribunal fédéral du 17 juin 2005 (LTF; RS 173.110), le recours est régi par le nouveau droit ( art. 132 al. 1 LTF ).</w:t>
      </w:r>
    </w:p>
    <w:p>
      <w:r>
        <w:rPr>
          <w:b/>
        </w:rPr>
        <w:t>E. 2</w:t>
      </w:r>
    </w:p>
    <w:p>
      <w:r>
        <w:t>Interjeté par la partie qui a partiellement succombé dans ses conclusions libératoires et reconventionnelles en paiement ( art. 76 al. 1 LTF ) et dirigé contre une décision finale ( art. 90 LTF ) rendue en matière civile ( art. 72 al. 1 LTF ) par une autorité cantonale de dernière instance ( art. 75 al. 1 LTF ) dans une affaire dont la valeur litigieuse, déterminée par les conclusions restées litigieuses devant l'autorité précédente ( art. 51 al. 1 let. a LTF ), en l'occurrence de 49'951 fr., atteint le seuil de 15'000 fr. déterminant dans les causes de droit du travail ( art. 74 al. 1 let. a LTF ), le présent recours en matière civile est en principe recevable, puisqu'il a été déposé dans le délai - compte tenu des féries - (art. 45 al. 1, 46 al. 1 let. a et 100 al. 1 LTF) et la forme ( art. 42 LTF ) prévus par la loi.</w:t>
      </w:r>
    </w:p>
    <w:p>
      <w:r>
        <w:rPr>
          <w:b/>
        </w:rPr>
        <w:t>E. 3</w:t>
      </w:r>
    </w:p>
    <w:p>
      <w:r>
        <w:t>Le présent recours porte uniquement sur des questions de faits. Les recourants contestent les heures supplémentaires retenues par l'autorité cantonale.</w:t>
      </w:r>
    </w:p>
    <w:p>
      <w:r>
        <w:rPr>
          <w:b/>
        </w:rPr>
        <w:t>E. 3.1</w:t>
      </w:r>
    </w:p>
    <w:p>
      <w:r>
        <w:t>Saisi d'un recours en matière civile, le Tribunal fédéral statue sur la base des faits établis par l'autorité précédente ( art. 105 al. 1 LTF ). La partie recourante ne peut critiquer les constatations de fait que si les faits ont été établis de façon manifestement inexacte - notion qui correspond à celle d'arbitraire (Message concernant la révision totale de l'organisation judiciaire fédérale du 28 février 2001, ci-après: Message, FF 2001 p. 4000 ss, spéc. p. 4135) -, ou en violation du droit au sens de l' art. 95 LTF , en particulier en violation de l'interdiction constitutionnelle de l'arbitraire ( art. 97 al. 1 LTF ). Ce n'est que dans ces cas que le Tribunal fédéral peut s'écarter de l'état de fait souverainement constaté par l'autorité cantonale ( art. 105 al. 2 LTF ). La LTF, qui a remplacé l'ancienne OJ, n'a pas élargi les compétences du Tribunal fédéral en matière d'examen des faits et celui-ci ne revoit pas les faits comme le ferait une cour d'appel.</w:t>
      </w:r>
    </w:p>
    <w:p>
      <w:r>
        <w:rPr>
          <w:b/>
        </w:rPr>
        <w:t>E. 3.2</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Dans la mesure où l'arbitraire est invoqué en relation avec l'établissement des faits, il convient de rappeler que le juge dispose d'un large pouvoir lorsqu'il apprécie les preuves. La partie recourante doit ainsi démontrer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Aucun fait nouveau ni preuve nouvelle ne peut être présenté à moins de résulter de la décision de l'autorité précédente ( art. 99 al. 1 LTF ).</w:t>
      </w:r>
    </w:p>
    <w:p>
      <w:r>
        <w:rPr>
          <w:b/>
        </w:rPr>
        <w:t>E. 3.3</w:t>
      </w:r>
    </w:p>
    <w:p>
      <w:r>
        <w:t>En l'espèce, l'autorité cantonale, après instruction, a retenu que l'intimée avait effectué six heures de travail supplémentaire par semaine pour du "baby-sitting". Elle a procédé à une estimation en appliquant l' art. 42 al. 2 CO par analogie. Cette disposition du droit de la responsabilité permet au juge, lorsque le montant exact du dommage ne peut pas être établi, de le déterminer équitablement en considération du cours ordinaire des choses et des mesures prises par la partie lésée; il s'agit d'une règle de preuve de droit fédéral dont le but est de faciliter au lésé l'établissement du dommage. Elle est applicable par analogie lorsqu'il s'agit de déterminer l'ampleur des heures supplémentaires d'un travailleur (cf. ATF 128 III 271 consid. 2b/aa).</w:t>
      </w:r>
    </w:p>
    <w:p>
      <w:r>
        <w:rPr>
          <w:b/>
        </w:rPr>
        <w:t>E. 3.4</w:t>
      </w:r>
    </w:p>
    <w:p>
      <w:r>
        <w:t>Sous les titres "établissement inexact des faits" et "appréciation arbitraire des faits", les recourants rediscutent les motifs de l'arrêt de la cour cantonale. Il s'agit d'une argumentation appellatoire dans laquelle ils donnent leur interprétation du résultat de la procédure probatoire; qu'ils utilisent les termes "manifestement inexact" ou "arbitraire" n'y change rien. Quoi qu'il en soit, même si l'argumentation des recourants n'est pas dénuée de toute pertinence, l'état de fait retenu par l'autorité cantonale n'en est pas pour autant insoutenable. Qui plus est, l'autorité cantonale a procédé à une estimation, ce qui implique nécessairement quelques incertitudes. En définitive, on ne saurait admettre que la constatation critiquée est arbitraire.</w:t>
      </w:r>
    </w:p>
    <w:p>
      <w:r>
        <w:rPr>
          <w:b/>
        </w:rPr>
        <w:t>E. 4</w:t>
      </w:r>
    </w:p>
    <w:p>
      <w:r>
        <w:t>Se référant à l' art. 8 CC , les recourants se plaignent en outre d'une violation du droit à la preuve.</w:t>
      </w:r>
    </w:p>
    <w:p>
      <w:r>
        <w:rPr>
          <w:b/>
        </w:rPr>
        <w:t>E. 4.1</w:t>
      </w:r>
    </w:p>
    <w:p>
      <w:r>
        <w:t>A teneur de cette disposition, chaque partie doit, si la loi ne prescrit pas le contraire, prouver les faits qu'elle allègue pour en déduire son droit. Lorsque l'appréciation des preuves convainc le juge qu'un fait est établi à satisfaction de droit ou réfuté, la question de la répartition du fardeau de la preuve ne se pose plus et le grief tiré de la violation de l' art. 8 CC devient sans objet. Il s'agit alors d'une question de pure appréciation des preuves (cf. ATF 127 III 519 consid. 2a).</w:t>
      </w:r>
    </w:p>
    <w:p>
      <w:r>
        <w:rPr>
          <w:b/>
        </w:rPr>
        <w:t>E. 4.2</w:t>
      </w:r>
    </w:p>
    <w:p>
      <w:r>
        <w:t>En l'espèce, l'autorité cantonale, sur la base de l'instruction, a retenu en fait que l'intimée avait fait des heures supplémentaires de "baby-sitting" et, en appliquant par analogie l' art. 42 al. 2 CO , les a estimées à six par semaine. La question du fardeau de la preuve ne se pose donc pas. La motivation du grief s'épuise d'ailleurs dans une discussion de l'appréciation des preuves, les recourants soutenant que l'autorité cantonale ne pouvait pas "tenir pour clairement prouvé que l'intimée a bel et bien effectué des heures supplémentaires".</w:t>
      </w:r>
    </w:p>
    <w:p>
      <w:r>
        <w:rPr>
          <w:b/>
        </w:rPr>
        <w:t>E. 5</w:t>
      </w:r>
    </w:p>
    <w:p>
      <w:r>
        <w:t>L'arrêt rejetant un recours manifestement infondé est motivé sommairement ( art. 109 al. 3 LTF ).</w:t>
      </w:r>
    </w:p>
    <w:p>
      <w:r>
        <w:rPr>
          <w:b/>
        </w:rPr>
        <w:t>E. 6</w:t>
      </w:r>
    </w:p>
    <w:p>
      <w:r>
        <w:t>Comme la valeur litigieuse, calculée selon les prétentions à l'ouverture de l'action ( ATF 115 II 30 consid. 5b p. 41; cf. Message, p. 4103), en l'occurrence de 93'174 fr. 50, dépasse le seuil de 30'000 fr., le montant de l'émolument judiciaire est fixé selon le tarif ordinaire ( art. 65 al. 3 let. b LTF ) et non réduit ( art. 65 al. 4 let . c LTF). Compte tenu de l'issue du litige, les frais sont mis solidairement à la charge des recourants, qui succombent ( art. 66 al. 1 et 5 LTF ). Il n'y a en revanche pas lieu d'allouer de dépens à l'intimée, qui s'est abstenue de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