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4A_94/2024 vom 5. März 2024</w:t>
      </w:r>
    </w:p>
    <w:p>
      <w:r>
        <w:t>Bundesgericht, 2024-03-05, FR</w:t>
      </w:r>
    </w:p>
    <w:p>
      <w:r>
        <w:rPr>
          <w:b/>
        </w:rPr>
        <w:t xml:space="preserve">Quelle: </w:t>
      </w:r>
      <w:r>
        <w:t>https://mcp.opencaselaw.ch/entscheid/bger_4A_94_2024</w:t>
      </w:r>
    </w:p>
    <w:p>
      <w:r>
        <w:t>FR: TF 4A_94/2024 du 5 mars 2024</w:t>
      </w:r>
    </w:p>
    <w:p>
      <w:r>
        <w:t>IT: TF 4A_94/2024 del 5 marzo 2024</w:t>
      </w:r>
    </w:p>
    <w:p>
      <w:pPr>
        <w:pStyle w:val="Heading2"/>
      </w:pPr>
      <w:r>
        <w:t>Erwägungen</w:t>
      </w:r>
    </w:p>
    <w:p>
      <w:r>
        <w:rPr>
          <w:b/>
        </w:rPr>
        <w:t>E. 1</w:t>
      </w:r>
    </w:p>
    <w:p>
      <w:r>
        <w:t>Le 22 avril 2021, A.________ a assigné B.________ Sàrl devant le Tribunal du district de Sion en vue d'obtenir le paiement d'un montant de 850'000 fr., intérêts en sus.</w:t>
      </w:r>
    </w:p>
    <w:p>
      <w:r>
        <w:t>Par décision du 19 décembre 2023, le Juge III du district de Sion, admettant la requête présentée le 11 septembre 2023 par la défenderesse, a imparti un délai de trente jours au demandeur pour verser un montant de 33'000 fr. à titre de sûretés en garantie des dépens de son adversaire.</w:t>
      </w:r>
    </w:p>
    <w:p>
      <w:r>
        <w:t>Statuant par arrêt du 30 janvier 2024, la Chambre civile du Tribunal cantonal du canton du Valais a rejeté, dans la très faible mesure de sa recevabilité, le recours interjeté par A.________ à l'encontre de cette décision.</w:t>
      </w:r>
    </w:p>
    <w:p>
      <w:r>
        <w:rPr>
          <w:b/>
        </w:rPr>
        <w:t>E. 2</w:t>
      </w:r>
    </w:p>
    <w:p>
      <w:r>
        <w:t>Le 9 février 2024, A.________ (ci-après: le recourant) a formé un recours contre cet arrêt.</w:t>
      </w:r>
    </w:p>
    <w:p>
      <w:r>
        <w:t>Le Tribunal fédéral n'a pas requis le dépôt d'une réponse au recours.</w:t>
      </w:r>
    </w:p>
    <w:p>
      <w:r>
        <w:rPr>
          <w:b/>
        </w:rPr>
        <w:t>E. 3</w:t>
      </w:r>
    </w:p>
    <w:p>
      <w:r>
        <w:t>Le Tribunal fédéral examine d'office et librement la recevabilité des recours qui lui sont soumis ( ATF 138 III 46 consid. 1).</w:t>
      </w:r>
    </w:p>
    <w:p>
      <w:r>
        <w:rPr>
          <w:b/>
        </w:rPr>
        <w:t>E. 3.1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3.3</w:t>
      </w:r>
    </w:p>
    <w:p>
      <w:r>
        <w:t>Eu égard à son caractère appellatoire manifeste, l'acte de recours ne satisfait nullement aux exigences de motivation susmentionnées. En l'espèce, le recourant se contente en effet, dans une très large mesure, d'exposer sa propre version des faits de la cause, qu'il tente de substituer à celle retenue dans l'arrêt attaqué. Il n'invoque cependant pas le grief d'établissement arbitraire des faits ni ne démontre que les faits constatés dans la décision querellée auraient été établis arbitrairement par la cour cantonale. Pour le reste, on cherche, en vain, parmi les éléments avancés dans l'acte de recours, une critique digne de ce nom des considérations juridiques émises par la cour cantonale pour justifier la solution retenue par elle. Il suit de là que le recours est manifestement irrecevable, ce qu'il y a lieu de constater en procédure simplifiée ( art. 108 al. 1 let. b LTF ).</w:t>
      </w:r>
    </w:p>
    <w:p>
      <w:r>
        <w:rPr>
          <w:b/>
        </w:rPr>
        <w:t>E. 4</w:t>
      </w:r>
    </w:p>
    <w:p>
      <w:r>
        <w:t>Étant donné les circonstances, le Tribunal fédéral renoncera, à titre exceptionnel, à la perception des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