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4A_94/2019 vom 17. Juni 2019</w:t>
      </w:r>
    </w:p>
    <w:p>
      <w:r>
        <w:t>Bundesgericht, 2019-06-17, FR</w:t>
      </w:r>
    </w:p>
    <w:p>
      <w:r>
        <w:rPr>
          <w:b/>
        </w:rPr>
        <w:t xml:space="preserve">Quelle: </w:t>
      </w:r>
      <w:r>
        <w:t>https://mcp.opencaselaw.ch/entscheid/bger_4A_94_2019</w:t>
      </w:r>
    </w:p>
    <w:p>
      <w:r>
        <w:t>FR: TF 4A_94/2019 du 17 juin 2019</w:t>
      </w:r>
    </w:p>
    <w:p>
      <w:r>
        <w:t>IT: TF 4A_94/2019 del 17 giugno 2019</w:t>
      </w:r>
    </w:p>
    <w:p>
      <w:pPr>
        <w:pStyle w:val="Heading2"/>
      </w:pPr>
      <w:r>
        <w:t>Erwägungen</w:t>
      </w:r>
    </w:p>
    <w:p>
      <w:r>
        <w:rPr>
          <w:b/>
        </w:rPr>
        <w:t>E. 1</w:t>
      </w:r>
    </w:p>
    <w:p>
      <w:r>
        <w:t>La contestation porte sur un contrat d'assurance complémentaire à l'assurance-maladie sociale; elle a été tranchée en instance cantonale unique comme le prévoit l'organisation judiciaire genevoise en relation avec l' art. 7 CPC . Le recours en matière civile est donc recevable sans égard à la valeur litigieuse ( art. 74 al. 2 let. b LTF ; ATF 138 III 799 ).</w:t>
      </w:r>
    </w:p>
    <w:p>
      <w:r>
        <w:rPr>
          <w:b/>
        </w:rPr>
        <w:t>E. 2</w:t>
      </w:r>
    </w:p>
    <w:p>
      <w:r>
        <w:t>Il est constant que les parties se sont liées par un contrat soumis à la loi fédérale sur le contrat d'assurance (LCA).</w:t>
      </w:r>
    </w:p>
    <w:p>
      <w:r>
        <w:rPr>
          <w:b/>
        </w:rPr>
        <w:t>E. 3</w:t>
      </w:r>
    </w:p>
    <w:p>
      <w:r>
        <w:t>A teneur de l' art. 4 al. 1 LCA ,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Selon l'art. 6 al. 1 à 3 LCA, l'assureur est en droit de résilier le contrat en cas de réticence, c'est-à-dire lorsque les déclarations du proposant se révèlent inexactes ou incomplètes (al. 1);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w:t>
      </w:r>
    </w:p>
    <w:p>
      <w:r>
        <w:t>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 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 ATF 116 II 338 consid. 1c p. 341; voir aussi ATF 134 III 511 consid. 3.3.3 p. 514; 136 III 334 consid. 2.3 p. 337).</w:t>
      </w:r>
    </w:p>
    <w:p>
      <w:r>
        <w:t>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 art. 4 al. 3 LCA , il incombe à l'assureur de poser des questions précises et non équivoques. Il n'y a pas de réticence si l'assureur a posé une question ambiguë et que la réponse apparaît véridique selon la manière dont le preneur pouvait de bonne foi comprendre la question ( ATF 136 III 334 consid. 2.3 p. 337).</w:t>
      </w:r>
    </w:p>
    <w:p>
      <w:r>
        <w:rPr>
          <w:b/>
        </w:rPr>
        <w:t>E. 4</w:t>
      </w:r>
    </w:p>
    <w:p>
      <w:r>
        <w:t>En l'espèce, la Cour de justice retient à tort que la question n° 2 soumise à la demanderesse était précise et non équivoque; cette question était au contraire floue et évasive (arrêt 4A_134/2013 du 11 septembre 2013, consid. 4.2.2, concernant une question semblable). Néanmoins, la demanderesse ne pouvait pas de bonne foi répondre « non ». Précisément à l'époque où elle répondait, soit au mois de février 2016, elle consultait un médecin spécialiste en gastroentérologie par suite de symptômes qui avaient débuté au mois de juillet précédent et qui avaient persisté. Par le fait même que ces symptômes déterminaient la demanderesse à consulter un spécialiste, ils étaient indéniablement une « atteinte à la santé » ou un « trouble » visé par la question, et la demanderesse devait s'en rendre compte à l'instar de toute personne normalement capable de discernement. Il est à cet égard sans importance que les investigations du spécialiste n'aient finalement mis en évidence aucune « maladie » selon le texte de la question. Il n'est pas non plus contestable que la survenance de symptômes pareillement alarmants et persistants fût, aux termes de l' art. 4 al. 1 LCA , un fait important pour l'appréciation du risque à assurer.</w:t>
      </w:r>
    </w:p>
    <w:p>
      <w:r>
        <w:t>En instance fédérale, il n'est plus mis en doute que la défenderesse ait observé le délai de quatre semaines prévu par l' art. 6 al. 2 LCA . Cette partie a donc valablement résilié le contrat d'assurance sur la base de l' art. 6 al. 1 LCA . Les conclusions de la demanderesse en constatation de droit, selon lesquelles la Cour de justice était requise de constater que ce contrat n'avait pas été valablement résilié et qu'il demeurait en vigueur, étaient ainsi privées de fondement. Il n'est pas nécessaire d'examiner si ces mêmes conclusions auraient dû être jugées recevables au regard de l' art. 88 CPC .</w:t>
      </w:r>
    </w:p>
    <w:p>
      <w:r>
        <w:rPr>
          <w:b/>
        </w:rPr>
        <w:t>E. 5</w:t>
      </w:r>
    </w:p>
    <w:p>
      <w:r>
        <w:t>Selon l'exposé de la demanderesse, celle-ci a transmis à la défenderesse des factures médicales au total de 9'262 fr., montant de ses conclusions en paiement, et ces factures ne lui ont pas été remboursées. Certaines factures se rapportent à des frais sans lien avec les symptômes qui sont l'objet de la réticence, celle-ci supposée admise, et l' art. 6 al. 3 LCA n'autorise donc pas la défenderesse à refuser la couverture de ces frais. La demanderesse n'a conservé aucune copie des factures transmises et pour ce motif, elle n'est pas en mesure d'articuler le montant inférieur à 9'262 fr. qu'elle peut réclamer à titre subsidiaire et à raison de ces mêmes frais. En l'état, selon ses conclusions préalables, elle réclame que la défenderesse soit astreinte à produire les factures pour qu'elle puisse elle-même les étudier et articuler des conclusions en paiement à hauteur desdits frais.</w:t>
      </w:r>
    </w:p>
    <w:p>
      <w:r>
        <w:t>La demanderesse exerce par là une action en paiement non chiffrée, en principe recevable selon l' art. 85 CPC . Parce qu'elle portera sur un montant inférieur, cette action est subsidiaire relativement à l'action principale tendant au remboursement de toutes les factures.</w:t>
      </w:r>
    </w:p>
    <w:p>
      <w:r>
        <w:t>La Cour de justice juge irrecevables les conclusions tendant à la production des factures. Selon son arrêt, il incombait à la demanderesse « d'indiquer clairement » le montant qu'elle réclame et d'indiquer une valeur litigieuse provisoire et minimale. Ces considérations ne sont pas pertinentes car les conclusions s'inscrivaient exactement dans la démarche admissible selon l' art. 85 al. 2 CPC , consistant à d'abord recueillir des moyens de preuve puis à chiffrer, ensuite, des conclusions en paiement. La valeur litigieuse provisoire minimale à indiquer selon l' art. 85 al. 1 CPC était immédiatement reconnaissable: elle correspondait au total des factures, soit 9'262 francs.</w:t>
      </w:r>
    </w:p>
    <w:p>
      <w:r>
        <w:t>Certes, il était insolite que la demanderesse réclamât la production de documents qu'elle avait elle-même transmis à l'adverse partie et dont la Cour pouvait supposer qu'elle avait conservé des copies. Dans son mémoire de demande en justice, la demanderesse n'a pas clairement expliqué qu'elle ne détenait pas de copies; elle ne fournit cette explication qu'à l'appui du recours en matière civile. De ce point de vue, les conclusions de la demanderesse et leur motivation dans la demande en justice étaient « peu claires » aux termes de l' art. 56 CPC , et cette disposition imposait à la Cour d'interpeller cette partie afin qu'elle procédât de manière plus intelligible.</w:t>
      </w:r>
    </w:p>
    <w:p>
      <w:r>
        <w:t>Sur ce chef de la contestation, le jugement d'irrecevabilité se révèle contraire aux art. 56 et 85 CPC , ce qui entraîne son annulation. La cause doit être renvoyée à la Cour de justice pour que cette autorité ordonne la production des factures et poursuive la procédure de l'action en paiement exercée à titre subsidiaire. Le recours en matière civile est pour le surplus mal fondé.</w:t>
      </w:r>
    </w:p>
    <w:p>
      <w:r>
        <w:rPr>
          <w:b/>
        </w:rPr>
        <w:t>E. 6</w:t>
      </w:r>
    </w:p>
    <w:p>
      <w:r>
        <w:t>La demanderesse n'obtient que partiellement gain de cause devant le Tribunal fédéral. Elle assume de plus, par sa manière déficiente de procéder devant la Cour de justice, une certaine responsabilité dans le vice de l'arrêt attaqué. Il convient donc de répartir les frais et dépens de l'instance fédérale à raison de trois quarts à la charge de cette partie et d'un quart à la charge de la défenderesse. Bien qu'elle n'ait pas pris de conclusions devant le Tribunal fédéral, cette dernière partie succombe aux termes de l' art. 66 al. 1 LTF car l'instance aboutit à l'annulation d'un prononcé qu'elle a sollicité et obtenu devant la Cour de justice ( ATF 128 II 90 consid. 2b et 2c p. 93; 123 V 156 ).</w:t>
      </w:r>
    </w:p>
    <w:p>
      <w:r>
        <w:t>La demanderesse acquittera en conséquence trois quarts d'un émolument judiciaire arrêté à 2'000 fr., soit 1'500 fr., et la défenderesse acquittera le solde. Les dépens de la demanderesse peuvent être évalués à 2'400 fr., de sorte que la défenderesse lui versera une indemnité de 600 francs. Cette partie-ci n'a pas répondu au recours et elle ne peut donc prétendre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