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4A_94/2014 vom 1. Juli 2014</w:t>
      </w:r>
    </w:p>
    <w:p>
      <w:r>
        <w:t>Bundesgericht, 2014-07-01, DE</w:t>
      </w:r>
    </w:p>
    <w:p>
      <w:r>
        <w:rPr>
          <w:b/>
        </w:rPr>
        <w:t xml:space="preserve">Quelle: </w:t>
      </w:r>
      <w:r>
        <w:t>https://mcp.opencaselaw.ch/entscheid/bger_4A_94_2014</w:t>
      </w:r>
    </w:p>
    <w:p>
      <w:r>
        <w:t>FR: TF 4A_94/2014 du 1 juillet 2014</w:t>
      </w:r>
    </w:p>
    <w:p>
      <w:r>
        <w:t>IT: TF 4A_94/2014 del 1 luglio 2014</w:t>
      </w:r>
    </w:p>
    <w:p>
      <w:pPr>
        <w:pStyle w:val="Heading2"/>
      </w:pPr>
      <w:r>
        <w:t>Erwägungen</w:t>
      </w:r>
    </w:p>
    <w:p>
      <w:r>
        <w:rPr>
          <w:b/>
        </w:rPr>
        <w:t>E. 1</w:t>
      </w:r>
    </w:p>
    <w:p>
      <w:r>
        <w:t>Gemäss Art. 75 Abs. 1 BGG ist die Beschwerde zulässig gegen Entscheide letzter kantonaler Instanzen und des Bundesverwaltungsgerichts. Letztinstanzlichkeit gemäss Art. 75 Abs. 1 BGG bedeutet, dass der kantonale Instanzenzug für die Rügen, die dem Bundesgericht vorgetragen werden, ausgeschöpft sein muss ( BGE 134 III 524 E. 1.3 S. 527 mit Hinweisen).</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Die beschwerdeführende Partei hat vielmehr auf die Begründung des angefochtenen Urteils einzugehen und darzutun, worin eine Verletzung von Bundesrecht liegen soll ( Art. 42 Abs. 2 BGG ). Soweit die Beschwerde diesen Anforderungen nicht genügt, ist nicht darauf einzutreten ( BGE 140 III 86 E. 2 S. 88 f.; 134 II 244 E. 2.1 S. 246).</w:t>
      </w:r>
    </w:p>
    <w:p>
      <w:r>
        <w:rPr>
          <w:b/>
        </w:rPr>
        <w:t>E. 1.2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 Art. 97 Abs. 1 und Art. 105 Abs. 2 BGG ). Zum Sachverhalt gehören sowohl die Feststellungen über den Lebenssachverhalt, der dem Streitgegenstand zugrunde liegt, als auch jene über den Ablauf des vor- und erstinstanzlichen Verfahrens, also Feststellungen über den Prozesssachverhalt. Zum Prozesssachverhalt gehören namentlich die Anträge der Parteien, ihre Tatsachenbehauptungen, rechtlichen Erörterungen, Prozesserklärungen und Beweisvorbringen, der Inhalt einer Zeugenaussage, einer Expertise oder die Feststellungen anlässlich eines Augenscheins ( BGE 140 III 16 E. 1.3.1 S. 17 f. mit Hinweisen).</w:t>
      </w:r>
    </w:p>
    <w:p>
      <w:r>
        <w:rPr>
          <w:b/>
        </w:rPr>
        <w:t>E. 2</w:t>
      </w:r>
    </w:p>
    <w:p>
      <w:r>
        <w:t>Die Beschwerdeführer machen geltend, sie hätten im kantonalen Verfahren stets behauptet, die Beschwerdeführerin 1 sei nicht passivlegitimiert. Sie hätten vor der Vorinstanz gerügt, das Bezirksgericht befasse sich mit keinem Wort mit der fehlenden Passivlegitimation. Ebenso hätten sie beanstandet, das erstinstanzliche Urteil äussere sich mit keinem Wort zur Frage, weshalb die Beschwerdeführer solidarisch zu verurteilen seien. Sie hätten unter diesem Titel eine Verletzung ihres Anspruchs auf rechtliches Gehör, mithin eine Verletzung der Begründungspflicht gerügt. Im angefochtenen Urteil komme die Vorinstanz zum Schluss, die erhobene Rüge sei unter diesem Titel im Ergebnis unbegründet, auch wenn sich dem erstinstanzlichen Urteil zur Frage der Passivlegitimation der Beschwerdeführerin 1 und zur Solidarhaftung nichts Ausdrückliches entnehmen lasse. Bezüglich der Solidarität halte die Vorinstanz fest, der Beschwerdeführer 2 habe ausdrücklich erklärt, er habe im Auftrag seiner Firma, der Beschwerdeführerin 1, gehandelt. Es erscheine deshalb richtig, von einer Solidarschuld auszugehen ( Art. 403 Abs. 2 OR ). Diese Begründung erachten die Beschwerdeführer als überraschend (da sich die Beschwerdegegnerinnen nicht auf Art. 403 Abs. 2 OR berufen hätten) und ungenügend. Sie weisen auf den Widerspruch hin, den sie darin erkennen, dass ihre Berufung abgewiesen wurde, der angefochtene erstinstanzliche Entscheid dann aber gleichwohl in einem Punkt bezüglich der Passivlegitimation der Beschwerdeführerin 1 und der Solidarität korrigiert worden sei. Sie rügen insoweit eine Verletzung ihres Anspruchs auf rechtliches Gehör und halten den angefochtenen Entscheid zufolge des Widerspruchs für willkürlich. In rechtlicher Hinsicht sind sie der Meinung, die Voraussetzung für die Anwendung von Art. 403 Abs. 2 OR sei nicht gegeben, was sie auch unter dem Blickwinkel der offensichtlich unrichtigen Sachverhaltsfeststellung rügen.</w:t>
      </w:r>
    </w:p>
    <w:p>
      <w:r>
        <w:rPr>
          <w:b/>
        </w:rPr>
        <w:t>E. 2.1</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136 I 184 E. 2.2.1 S. 188).</w:t>
      </w:r>
    </w:p>
    <w:p>
      <w:r>
        <w:rPr>
          <w:b/>
        </w:rPr>
        <w:t>E. 2.2</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w:t>
      </w:r>
    </w:p>
    <w:p>
      <w:r>
        <w:rPr>
          <w:b/>
        </w:rPr>
        <w:t>E. 2.3</w:t>
      </w:r>
    </w:p>
    <w:p>
      <w:r>
        <w:t>Ein Entscheid ist hinreichend begründet, wenn er sachgerecht angefochten werden kann. Ob die Begründung rechtlich haltbar ist, spielt keine Rolle. Letzteres ist vielmehr im Rechtsmittelverfahren zu prüfen. Die Vorinstanz stützte sich auf die Erklärung des Beschwerdeführers 2, er habe im Auftrag seiner Firma, der Beschwerdeführerin 1, gehandelt. Sie verwies auf Art. 403 Abs. 2 OR und kam zum Schluss, es liege eine Solidarschuld vor. Dass vertragliche Ansprüche, wenn sie denn bestehen sollten, ihre Grundlage in einem Auftragsverhältnis haben könnten, liegt nahe. Insoweit ist es nicht überraschend, wenn die Vorinstanz für die Frage der Solidarität die Bestimmungen des Auftragsrechts heranzieht. Aus der Begründung konnten die Beschwerdeführer erkennen, dass es nach Auffassung der Vorinstanz für die Anwendung von Art. 403 Abs. 2 OR genügt, wenn der Beschwerdeführer 2 im Auftrag der Beschwerdeführerin 1 gehandelt hat, deren Verwaltungsratspräsident er war. Die Beschwerdeführer sind nicht dieser Auffassung, was sie in ihrer Beschwerde zum Ausdruck gebracht haben. Eine sachgerechte Anfechtung war offensichtlich möglich.</w:t>
      </w:r>
    </w:p>
    <w:p>
      <w:r>
        <w:rPr>
          <w:b/>
        </w:rPr>
        <w:t>E. 2.4</w:t>
      </w:r>
    </w:p>
    <w:p>
      <w:r>
        <w:t>Ob die Vorinstanz Art. 403 Abs. 2 OR verletzt hat, wie die Beschwerdeführer meinen, kann offen bleiben. Nach Auffassung der Vorinstanz haften die Beschwerdeführer den Beschwerdegegnerinnen beide im Umfang der zu viel bezogenen Leistungen aus Vertrag. Unter dieser Voraussetzung führen aber bereits die allgemeinen Haftungsregeln von Art. 50 ff. OR i.V.m. Art. 99 Abs. 3 OR zur Annahme von Solidarität (vgl. BGE 130 III 591 E. 5.5.1 S. 603 mit Hinweisen). Wenn das Bezirksgericht nicht ausdrücklich ausführte, weshalb in einer derartigen Situation Solidarität vorliegt, kann darin keine mangelnde Begründung gesehen werden. Es hätte zur Anfechtung genügt darzulegen, weshalb bei gemeinsamer vertraglicher Haftung für denselben Schaden keine Solidarität gegeben sein sollte. Eine Verletzung des rechtlichen Gehörs ist nicht dargetan. Eine allenfalls unrichtige Anwendung von Art. 403 Abs. 2 OR würde sich im Ergebnis nicht auswirken.</w:t>
      </w:r>
    </w:p>
    <w:p>
      <w:r>
        <w:rPr>
          <w:b/>
        </w:rPr>
        <w:t>E. 2.5</w:t>
      </w:r>
    </w:p>
    <w:p>
      <w:r>
        <w:t>Soweit die Beschwerdeführer geltend machen, die Vorinstanz hätte ihre kantonale Berufung, in der sie die Frage der Passivlegitimation und der Solidarität thematisiert hatten, nicht abweisen dürfen, wenn im Rahmen der Berufung der Gegenpartei der erstinstanzliche Entscheid diesbezüglich in gewissen Punkten im Sinne der Beschwerdeführer korrigiert wird, ist auf die Beschwerde nicht einzutreten. Die Beschwerdeführer anerkennen selbst, dass die Vorinstanz ihrem Obsiegen bei der Kostenverteilung Rechnung getragen hat. Sie zeigen nicht auf, inwiefern es bezüglich der Korrektur des erstinstanzlichen Entscheides oder die Kostenregelung einen Unterschied macht, ob sie in teilweiser Gutheissung ihrer Berufung erfolgt oder nicht. Damit läuft die Rüge auf einen blossen Streit um Worte hinaus, an dem kein Rechtsschutzinteresse besteht (vgl. BGE 111 II 398 E. 2b S. 400; Urteil des Bundes-gerichts 4A_223/2012 vom 20. August 2012 E. 2.4).</w:t>
      </w:r>
    </w:p>
    <w:p>
      <w:r>
        <w:rPr>
          <w:b/>
        </w:rPr>
        <w:t>E. 3</w:t>
      </w:r>
    </w:p>
    <w:p>
      <w:r>
        <w:t>Die Beschwerdeführer rügen, dem Beschwerdeführer 2 werde von der Vorinstanz eine Verletzung des Mandatsvertrages vom 7. Oktober 1999 vorgeworfen. Dieser sei aber nur von natürlichen Personen unterzeichnet worden, nicht von den Beschwerdegegnerinnen. Diese könnten daraus keine Ansprüche ableiten. Auch gegenüber der Beschwerdeführerin 1 bilde dieser Vertrag keine Anspruchsgrundlage.</w:t>
      </w:r>
    </w:p>
    <w:p>
      <w:r>
        <w:rPr>
          <w:b/>
        </w:rPr>
        <w:t>E. 3.1</w:t>
      </w:r>
    </w:p>
    <w:p>
      <w:r>
        <w:t>Nach den Feststellungen der Vorinstanz hat bereits die erste Instanz gestützt auf den Vertrag vom 7. Oktober 1999, ein Schreiben von Dr. O.F.________ vom 30. April 2002 und dessen Aussagen geschlossen, der Beschwerdeführer 2 habe die klare Verpflichtung, sich an die Weisungen der Auftraggeber zu halten, willentlich verletzt. An der im angefochtenen Entscheid angegebenen Stelle kam das Bezirksgericht zum Schluss, indem der Beschwerdeführer 2 die Zahlungen an die Beschwerdeführerin 1 veranlasst habe, ohne vorher Dr. O.F.________ um Genehmigung zu ersuchen, habe er klar entgegen den Mandats- und Treuhandverträgen gehandelt und sich der Vertragsverletzung schuldig gemacht. Die Klägerinnen könnten daher Forderungen aus positiver Vertragsverletzung geltend machen.</w:t>
      </w:r>
    </w:p>
    <w:p>
      <w:r>
        <w:rPr>
          <w:b/>
        </w:rPr>
        <w:t>E. 3.2</w:t>
      </w:r>
    </w:p>
    <w:p>
      <w:r>
        <w:t>Im Rahmen eines echten Vertrages zu Gunsten Dritter ( Art. 112 Abs. 2 OR ) kann eine Person Gläubigerstellung erwerben, ohne Vertragspartei zu sein (Urteil des Bundesgerichts 4A_627/2011 vom 8. März 2012 E. 3.5.1). Ob die im Vertrag vom 7. Oktober 1999 geregelte Weisungsbefugnis von Dr. O.F.________ auch für die anderen vom Beschwerdeführer geschlossenen Mandats- und Treuhandverträge gilt, wer Partei der Verträge ist und wer aus deren Verletzung vertragliche Ansprüche ableiten kann, bestimmt sich zunächst nach dem tatsächlich übereinstimmenden Parteiwillen ( BGE 140 III 86 E. 4.1 S. 90 f. mit Hinweis; zit. Urteil 4A_627/2011 E. 3.5.1). Da bereits das Bezirksgericht davon ausging, die Beschwerdegegnerinnen könnten Forderungen aus positiver Vertragsverletzung geltend machen, war es Sache der Beschwerdeführer, in der kantonalen Berufung zu rügen, die Voraussetzungen für diese Annahme seien in tatsächlicher Hinsicht nicht gegeben. Ansonsten fehlt es insoweit an der materiellen Ausschöpfung des Instanzenzuges ( BGE 134 III 524 E. 1.3 S. 527 mit Hinweisen).</w:t>
      </w:r>
    </w:p>
    <w:p>
      <w:r>
        <w:rPr>
          <w:b/>
        </w:rPr>
        <w:t>E. 3.2.1</w:t>
      </w:r>
    </w:p>
    <w:p>
      <w:r>
        <w:t>Gemäss dem angefochtenen Entscheid haben die Beschwerdeführer in ihrer Berufung zwar die Aktivlegitimation der Beschwerdegegnerin 3 in Abrede gestellt. Gerügt wurde in diesem Zusammenhang aber die Feststellung, die Beschwerdegegnerin 3 habe die Aktiven und Passiven der Stiftung J.________ übernommen. Dies betrifft die Frage, ob allfällige Ansprüche der Stiftung J.________ auf die Beschwerdegegnerin 3 übergegangen sind. Sie hat mit der Frage, ob die Stiftung J.________ und die Beschwerdegegnerinnen befugt sind, sich auf die im Vertrag vom 7. Oktober 1999 geregelte Weisungsbefugnis zu berufen und ob sie aktivlegitimiert sind, gestützt auf die geschlossenen Mandats- und Treuhandverträge wegen der Missachtung der Weisungen Ansprüche aus positiver Vertragsverletzung zu erheben, nichts zu tun. Die vom Beschwerdeführer 2 geschlossenen Verträge, auf welche die Beschwerdegegnerinnen und die Stiftung J.________ ihre Ansprüche stützen, werden in der Berufung zwar thematisiert, aber mit Bezug auf den darin enthaltenen Haftungsausschluss, zu dem sich die erste Instanz nicht geäussert haben soll. Wenn sich die Beschwerdeführer auf den Haftungsausschluss berufen, impliziert dies aber die Anwendbarkeit der Verträge auf die geltend gemachten Ansprüche.</w:t>
      </w:r>
    </w:p>
    <w:p>
      <w:r>
        <w:rPr>
          <w:b/>
        </w:rPr>
        <w:t>E. 3.2.2</w:t>
      </w:r>
    </w:p>
    <w:p>
      <w:r>
        <w:t>Bestritten wurde in der Berufung die Passivlegitimation der Beschwerdeführerin 1, da mit ihr keine Verträge bestünden, nicht aber diejenige des Beschwerdeführers 2. Aus dem angefochtenen Entscheid geht nicht hervor, dass die Beschwerdeführer die Frage, ob die Beschwerdegegnerinnen aus einer Verletzung der Mandats- und Treuhandverträge vertragliche Ansprüche gegen den Beschwerdeführer 2 erheben können, zum Prozessthema gemacht haben. Die Beschwerdeführer zeigen auch nicht rechtsgenüglich auf, dass sie im Berufungsverfahren eine entsprechende Rüge erhoben hätten. Hinsichtlich der Rüge, die Beschwerdegegnerinnen könnten keine Ansprüche aus der geltend gemachten Vertragsverletzung erheben, fehlt es somit an der Ausschöpfung des Instanzenzuges, so dass darauf nicht einzutreten ist.</w:t>
      </w:r>
    </w:p>
    <w:p>
      <w:r>
        <w:rPr>
          <w:b/>
        </w:rPr>
        <w:t>E. 4</w:t>
      </w:r>
    </w:p>
    <w:p>
      <w:r>
        <w:t>Zu prüfen bleibt der Einwand der fehlenden Passivlegitimation der Beschwerdeführerin 1.</w:t>
      </w:r>
    </w:p>
    <w:p>
      <w:r>
        <w:rPr>
          <w:b/>
        </w:rPr>
        <w:t>E. 4.1</w:t>
      </w:r>
    </w:p>
    <w:p>
      <w:r>
        <w:t>Die Vorinstanz war sich bewusst, dass keine schriftlichen Verträge vorlagen. Sie entnahm aber den gestellten Rechnungen, dass die verrechneten Leistungen nicht in erster Linie durch den Beschwerdeführer 2, sondern durch Angestellte der Beschwerdeführerin 1 erbracht worden waren. Indem die Beschwerdeführer während des gesamten Verfahrens behauptet hätten, die in Rechnung gestellten Leistungen seien tatsächlich erbracht worden, und gleichzeitig das Bestehen eines Vertragsverhältnisses abstritten, verhielten sie sich rechtsmissbräuchlich.</w:t>
      </w:r>
    </w:p>
    <w:p>
      <w:r>
        <w:rPr>
          <w:b/>
        </w:rPr>
        <w:t>E. 4.2</w:t>
      </w:r>
    </w:p>
    <w:p>
      <w:r>
        <w:t>Indem die Beschwerdeführerin 1 die in Rechnung gestellten Beträge für tatsächlich erbrachte Leistungen beansprucht, behauptet sie eigene vertragliche Ansprüche. Sie kann nicht gleichzeitig mit Bezug auf die Ansprüche der Gegenpartei den Standpunkt einnehmen, es bestehe kein Vertragsverhältnis. Dass keine schriftlichen Verträge existieren, ändert nichts daran, dass die Beschwerdeführerin 1 für Ansprüche aus den vertraglichen Verhältnissen, aus denen sie die in Rechnung gestellten Forderungen ableitet, passivlegitimiert ist.</w:t>
      </w:r>
    </w:p>
    <w:p>
      <w:r>
        <w:rPr>
          <w:b/>
        </w:rPr>
        <w:t>E. 4.3</w:t>
      </w:r>
    </w:p>
    <w:p>
      <w:r>
        <w:t>Daraus, dass zwischen den Beschwerdegegnerinnen und der Beschwerdeführerin 1 Vertragsverhältnisse bestehen, folgt allerdings nicht, dass die vom Beschwerdeführer 2 geschlossenen Mandats- und Treuhandverträge auch für die Beschwerdeführerin 1 gelten. Sie muss sich aber das Verhalten ihres Verwaltungsratspräsidenten zurechnen lassen und wusste daher, dass er nicht zur Vornahme der Überweisungen berechtigt war. Dies wohl auch unabhängig von seiner Vertragsverletzung aufgrund des Interessenkonfliktes, in dem er sich befand. Dass sie im Rahmen der für die Beschwerdegegnerinnen entfalteten Tätigkeiten berechtigt gewesen wäre, selbst über Geldmittel ihrer Auftraggeber zu verfügen und daraus ihre Rechnungen zu bezahlen, macht die Beschwerdeführerin 1 nicht geltend und ist nicht festgestellt. Indem ihr Verwaltungsratspräsident die entsprechenden Zahlungen veranlasste, bediente die Beschwerdeführerin 1 sich aus dem Vermögen ihrer Auftraggeber selbst, ohne dazu berechtigt zu sein, und verletzte damit ihre vertraglichen Pflichten. Der mit Art. 400 OR dem Beauftragten auferlegten Pflicht, alles zu erstatten, was ihm infolge der Geschäftsführung aus irgend einem Grunde zugekommen ist, kommt aber nach ihrem Sinn und Zweck gerade auch dann Bedeutung zu, wenn der Beauftragte vertragswidrig über Vermögen oder Guthaben des Auftraggebers verfügt hat. In diesen Fällen ist daher die Rückerstattungsforderung eine vertragliche. Im Rahmen ihrer Abrechnungspflicht hat die Beschwerdeführerin 1 die von ihrem Verwaltungsratspräsidenten eigenmächtig an sie getätigten Überweisungen zurückzuerstatten, soweit diese unberechtigt sind. Diese Rückforderungsansprüche sind vertraglicher Natur und unterstehen der vertraglichen Verjährung (Urteil des Bundesgerichts 4A_284/2013 vom 13. Februar 2014 E. 4.2.4 mit Hinweis).</w:t>
      </w:r>
    </w:p>
    <w:p>
      <w:r>
        <w:rPr>
          <w:b/>
        </w:rPr>
        <w:t>E. 4.4</w:t>
      </w:r>
    </w:p>
    <w:p>
      <w:r>
        <w:t>Die Passivlegitimation verneint hat die Vorinstanz mit Bezug auf die vom Konto der Stiftung J.________ an die M.________ AG überwiesenen Fr. 57'100.--, da nur dieser gegenüber eine allfällige Rückforderung geltend gemacht werden könnte. Für Geldzahlungen, die der Beschwerdeführerin 1 indirekt über die im Eigentum der Stiftung J.________ und der Beschwerdegegnerin 3 stehenden Gesellschaften zugeflossen waren, erachtete die Vorinstanz dagegen die Passivlegitimation für gegeben. Auf diese unterschiedliche Behandlung gehen die Beschwerdeführer nicht ein. Mangels hinreichender Auseinandersetzung mit dem angefochtenen Entscheid (vgl. BGE 140 III 115 E. 2 S. 117) ist dieser insoweit nicht zu überprüfen.</w:t>
      </w:r>
    </w:p>
    <w:p>
      <w:r>
        <w:rPr>
          <w:b/>
        </w:rPr>
        <w:t>E. 5</w:t>
      </w:r>
    </w:p>
    <w:p>
      <w:r>
        <w:t>Zu behandeln bleibt die Rüge, allfällige Forderungen der Stiftung J.________ seien nicht auf die Beschwerdegegnerin 3 übergegangen. Diesbezüglich verwies die Vorinstanz auf den Zwischenentscheid des Bezirksgerichts, in dem die Aktivlegitimation der Beschwerdegegnerin 3 bejaht worden sei, und ihren bestätigenden Rechtsmittelentscheid. Sie hielt unter Hinweis auf Art. 237 Abs. 2 ZPO fest, dieser Rechtsmittelentscheid sei in Rechtskraft erwachsen und es sei nicht darauf zurückzukommen. Zudem ergebe sich aus einem Schreiben der Erstbegünstigten der Stiftung J.________, dass alle Aktiven und Passiven auf die Beschwerdegegnerin 3 übertragen würden.</w:t>
      </w:r>
    </w:p>
    <w:p>
      <w:r>
        <w:rPr>
          <w:b/>
        </w:rPr>
        <w:t>E. 5.1</w:t>
      </w:r>
    </w:p>
    <w:p>
      <w:r>
        <w:t>Die Beschwerdeführer sind der Auffassung, der zitierte ZPO-Artikel finde keine Anwendung, weil die ZPO im Zeitpunkt des Rechtsmittelentscheides am 11. September 2009 noch gar nicht in Kraft getreten war. Auf die Frage braucht nicht näher eingegangen zu werden. Art. 237 Abs. 2 ZPO befasst sich mit der Anfechtung von Zwischenentscheiden im Sinne von Abs. 1 der Bestimmung, verlangt die selbständige Anfechtung und schliesst eine Anfechtung zusammen mit dem Endentscheid aus. Die Beschwerdeführer haben den Zwischenentscheid des Bezirksgericht über die Aktivlegitimation aber angefochten. Zu beurteilen ist damit nicht die Frage, ob der Zwischenentscheid noch zusammen mit dem Endentscheid angefochten werden kann, sondern ob die Vorinstanz auf ihren eigenen Rechtsmittelentscheid nachträglich hätte zurückkommen können. Davon ist unabhängig von Art. 237 Abs. 2 ZPO nicht auszugehen, würde dadurch doch der mit dem Zwischenentscheid verfolgte Zweck, gewisse Fragen zu klären, bevor das erstinstanzliche Verfahren unnötigerweise weitergeführt wird, vereitelt. Dass dies nach dem nach Auffassung der Beschwerdeführer anwendbaren kantonalen Recht anders wäre, zeigen sie mit der Behauptung, dieses kenne keine Art. 237 Abs. 2 ZPO entsprechende Bestimmung, nicht rechtsgenüglich auf.</w:t>
      </w:r>
    </w:p>
    <w:p>
      <w:r>
        <w:rPr>
          <w:b/>
        </w:rPr>
        <w:t>E. 5.2</w:t>
      </w:r>
    </w:p>
    <w:p>
      <w:r>
        <w:t>Die Anfechtbarkeit vor Bundesgericht richtet sich nach Art. 92 f. BGG. Soweit ein Zwischenentscheid im Sinne des BGG nicht die Zuständigkeit oder ein Ausstandsbegehren betrifft, ist er, sofern die Beschwerde nach Art. 93 Abs. 1 und 2 nicht zulässig war oder von ihr kein Gebrauch gemacht wurde, durch Beschwerde gegen den Endentscheid anfechtbar, soweit er sich auf dessen Inhalt auswirkt ( Art. 93 Abs. 3 BGG ). Insofern kommt dem kantonalen Zwischenentscheid keine Rechtskraft zu. Die Beschwerdeführer haben in ihrer Beschwerde aber den Rechtsmittelentscheid vom 11. September 2009 weder formell mitangefochten, noch setzen sie sich in der Beschwerdebegründung rechtsgenüglich mit diesem Entscheid auseinander. Daher kann das Bundesgericht nicht darauf zurückkommen.</w:t>
      </w:r>
    </w:p>
    <w:p>
      <w:r>
        <w:rPr>
          <w:b/>
        </w:rPr>
        <w:t>E. 5.3</w:t>
      </w:r>
    </w:p>
    <w:p>
      <w:r>
        <w:t>Die Beschwerdeführer machen allerdings geltend, gemäss dem Entscheid vom 11. September 2009 sei noch kein Beweisverfahren durchgeführt worden und könne das Verfahren jederzeit beendet werden, sollte sich in dessen Verlauf ein Unzulässigkeitsgrund ergeben. Dieser hat sich nach Auffassung der Beschwerdeführer im Verlaufe des Verfahrens dadurch ergeben, dass die Anspruchsgrundlage, auf die sich die Beschwerdegegnerinnen berufen würden, offenbar der Mandatsvertrag vom 7. Oktober 1999 darstelle, womit offensichtlich werde, dass die Aktivlegitimation der Beschwerdegegnerinnen nicht gegeben sei. Dies ergab sich aber schon aus dem Urteil des Bezirksgerichts, so dass es insoweit, wie dargelegt, an der materiellen Ausschöpfung des Instanzenzuges fehlt (vgl. E. 3.1 f. hiervor). Auch auf die Ausführungen der Beschwerdeführer zur Frage, ob die Aktiven und Passiven der Stiftung J.________ auf die Beschwerdegegnerin 3 übergegangen sind und welchen Formerfordernissen eine Abtretung zu genügen hat, ist nicht näher einzugehen, da sie den Entscheid vom 11. September 2009 vor Bundesgericht nicht angefochten haben.</w:t>
      </w:r>
    </w:p>
    <w:p>
      <w:r>
        <w:rPr>
          <w:b/>
        </w:rPr>
        <w:t>E. 6</w:t>
      </w:r>
    </w:p>
    <w:p>
      <w:r>
        <w:t>Die Beschwerdeführer machen geltend, sie hätten detaillierte Honorarrechnungen zu den Akten gereicht und seien damit ihrer Abrechnungspflicht nachgekommen. Damit obliege es, wie das erstinstanzliche Gericht richtig festgehalten habe, den Beschwerdegegnerinnen zu behaupten und zu beweisen, dass die in Rechnung gestellten Aufwendungen eine Schlechterfüllung darstellten. Dass der Beschwerdeführer 2 nicht zu jeder Rechnungsposition detailliert habe Auskunft geben können, führe nicht zu einer Umkehr der Beweislast. Es liege an den Beschwerdegegnerinnen zu behaupten und zu beweisen, weshalb sie die Beschwerdeführer wegen einer angeblichen Vertragsverletzung zur Rechenschaft zögen. Indem die Vorinstanz mit der ersten Instanz eine Überfakturierung annehme, weil die Beschwerdeführer gewisse Rechnungsposten nicht erklären konnten, habe sie Art. 8 ZGB und die Dispositionsmaxime verletzt.</w:t>
      </w:r>
    </w:p>
    <w:p>
      <w:r>
        <w:rPr>
          <w:b/>
        </w:rPr>
        <w:t>E. 6.1</w:t>
      </w:r>
    </w:p>
    <w:p>
      <w:r>
        <w:t>Gemäss Art. 8 ZGB hat, wo es das Gesetz nicht anders bestimmt, derjenige das Vorhandensein einer behaupteten Tatsache zu beweisen, der aus ihr Rechte ableitet. Die Vertragsverletzung erachtete die Vorinstanz als erwiesen. Insoweit kommt Art. 8 ZGB keine Bedeutung zu ( BGE 130 III 591 E. 5.4 S. 601 f. mit Hinweisen).</w:t>
      </w:r>
    </w:p>
    <w:p>
      <w:r>
        <w:rPr>
          <w:b/>
        </w:rPr>
        <w:t>E. 6.2</w:t>
      </w:r>
    </w:p>
    <w:p>
      <w:r>
        <w:t>Die Beschwerdeführerin 1 beansprucht ein Entgelt für von ihr erbrachte Leistungen. Sie trägt die Beweislast für die Tatsachen, aus denen sie ihren Anspruch ableitet. Dass sie sich in Verletzung ihrer vertraglichen Pflichten über ihren Verwaltungsratspräsidenten aus dem Vermögen ihrer Auftraggeber selbst bedient hat, ändert daran nichts, da in der erfolgten Überweisungen keine Anerkennung der Forderungen der Beschwerdeführerin 1 liegt, die sich die Beschwerdegegnerinnen entgegen halten lassen müssten. Die Pflicht zur Rückzahlung ergibt sich grundsätzlich aus der vertragswidrigen Verfügung über das Vermögen. Nur soweit die Beschwerdeführer beweisen, dass damit berechtigte Forderungen getilgt wurden, ist keine Rückerstattung geschuldet.</w:t>
      </w:r>
    </w:p>
    <w:p>
      <w:r>
        <w:rPr>
          <w:b/>
        </w:rPr>
        <w:t>E. 7</w:t>
      </w:r>
    </w:p>
    <w:p>
      <w:r>
        <w:t>Damit ist die Beschwerde insgesamt abzuweisen, soweit darauf einzutreten ist. Dem Ausgang des Verfahrens entsprechend werden die Beschwerdeführer unter solidarischer Haftbarkeit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