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4A_93/2018 vom 22. Mai 2018</w:t>
      </w:r>
    </w:p>
    <w:p>
      <w:r>
        <w:t>Bundesgericht, 2018-05-22, DE</w:t>
      </w:r>
    </w:p>
    <w:p>
      <w:r>
        <w:rPr>
          <w:b/>
        </w:rPr>
        <w:t xml:space="preserve">Quelle: </w:t>
      </w:r>
      <w:r>
        <w:t>https://mcp.opencaselaw.ch/entscheid/bger_4A_93_2018</w:t>
      </w:r>
    </w:p>
    <w:p>
      <w:r>
        <w:t>FR: TF 4A_93/2018 du 22 mai 2018</w:t>
      </w:r>
    </w:p>
    <w:p>
      <w:r>
        <w:t>IT: TF 4A_93/2018 del 22 maggio 2018</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richtet sich gegen den Endentscheid ( Art. 90 BGG ) eines kantonalen Gerichts, das in einer Zivilsache ( Art. 72 BGG ) die Anträge des Beschwerdeführers abgewiesen hat ( Art. 76 BGG ). Die Vorinstanz hat als einzige kantonale Instanz entschieden ( Art. 5 Abs. 1 lit. d ZPO i.V.m. Art. 75 Abs. 2 lit. a BGG ), weshalb die Beschwerde in Zivilsachen unabhängig von der Erreichung der Streitwertgrenze von Art. 74 Abs. 1 BGG zulässig ist ( Art. 74 Abs. 2 lit. b BGG ). Die Beschwerdefrist ( Art. 100 BGG ) ist eingehalten.</w:t>
      </w:r>
    </w:p>
    <w:p>
      <w:r>
        <w:t>Auf die Beschwerde ist - vorbehältlich zulässiger Anträge und einer hinreichenden Begründung (Art. 42 i.V.m.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1.3</w:t>
      </w:r>
    </w:p>
    <w:p>
      <w:r>
        <w:t>Der Beschwerdeführer verfehlt die gesetzlichen Anforderungen an eine hinreichende Rüge, wenn er der Vorinstanz eine Rechtsverweigerung vorwirft, ohne dies rechtsgenüglich zu begründen.</w:t>
      </w:r>
    </w:p>
    <w:p>
      <w:r>
        <w:rPr>
          <w:b/>
        </w:rPr>
        <w:t>E. 2</w:t>
      </w:r>
    </w:p>
    <w:p>
      <w:r>
        <w:t>Der Beschwerdeführer macht geltend, die Vorinstanz sei zu Unrecht auf sein Gesuch um Rechsschutz in klaren Fällen ( Art. 257 ZPO ) nicht eingetreten. Es liege eine klare Verletzung von Art. 3 Abs. 1 lit. d und lit. e des Bundesgesetzes gegen den unlauteren Wettbewerb (UWG; SR 241) vor, die gestützt auf den klaren Sachverhalt hätte bejaht werden sollen.</w:t>
      </w:r>
    </w:p>
    <w:p>
      <w:r>
        <w:rPr>
          <w:b/>
        </w:rPr>
        <w:t>E. 2.1</w:t>
      </w:r>
    </w:p>
    <w:p>
      <w:r>
        <w:t>Art. 257 Abs. 1 ZPO sieht vor, dass das Gericht Rechtsschutz im summarischen Verfahren gewährt, wenn zum einen der Sachverhalt unbestritten oder sofort beweisbar (lit. a) und zum anderen die Rechtslage klar ist (lit. b). Kann dieser Rechtsschutz nicht gewährt werden, so tritt das Gericht auf das Gesuch nicht ein ( Art. 257 Abs. 3 ZPO ).</w:t>
      </w:r>
    </w:p>
    <w:p>
      <w:r>
        <w:t>Ein klarer Fall setzt demnach zum einen voraus, dass der Sachverhalt unbestritten oder sofort beweisbar ist ( Art. 257 Abs. 1 lit. a ZPO ). Ein Sachverhalt ist dann sofort beweisbar, wenn er ohne zeitliche Verzögerung und ohne besonderen Aufwand nachgewiesen werden kann. Der Beweis ist - entsprechend Art. 254 Abs. 1 ZPO - in der Regel durch Urkunden zu erbringen ( BGE 141 III 23 E. 3.2 S. 26; 138 III 620 E. 5.1.1 S. 621; je mit Hinweisen). Für die Verneinung eines klaren Falls genügt es, dass die beklagte Partei substanziiert und schlüssig Einwendungen vorträgt, die in tatsächlicher Hinsicht nicht sofort widerlegt werden können und die geeignet sind, die bereits gebildete richterliche Überzeugung zu erschüttern ( BGE 141 III 23 E. 3.2 S. 26; 138 III 620 E. 5.1.1 S. 623). Demgegenüber ist ein klarer Fall zu bejahen, wenn das Gericht aufgrund der Aktenlage zur Überzeugung gelangt, der Anspruch der klagenden Partei sei ausgewiesen und eine eingehende Abklärung der beklagtischen Einwände könne daran nichts ändern ( BGE 138 III 620 E. 5.1.1 S. 623); offensichtlich unbegründete oder haltlose Bestreitungen des Anspruchs genügen für die Verneinung eines klaren Falles nicht (Urteil 4A_14/2017 vom 15. Februar 2017 E. 4.2 mit Hinweisen).</w:t>
      </w:r>
    </w:p>
    <w:p>
      <w:r>
        <w:t>Zum anderen setzt ein klarer Fall voraus, dass die Rechtslage klar ist ( Art. 257 Abs. 1 lit. b ZPO ). Eine klare Rechtslage ist gegeben, wenn sich die Rechtsfolge bei der Anwendung des Gesetzes unter Berücksichtigung der Lehre und Rechtsprechung ohne Weiteres ergibt und damit die Rechtsanwendung zu einem eindeutigen Ergebnis führt ( BGE 141 III 23 E. 3.2 S. 26; 138 III 123 E. 2.1.2; je mit Hinweisen). Dagegen ist die Rechtslage in der Regel nicht klar, wenn die Anwendung einer Norm einen Ermessens- oder Billigkeitsentscheid des Gerichts mit wertender Berücksichtigung der gesamten Umstände erfordert ( BGE 141 III 23 E. 3.2 S. 26), wie dies namentlich bei der Beurteilung von Treu und Glauben zutrifft ( BGE 138 III 123 E. 2.1.2; Urteil 4A_273/2012 vom 30. Oktober 2012 E. 5.1.2, nicht. publ. in BGE 138 III 620 ).</w:t>
      </w:r>
    </w:p>
    <w:p>
      <w:r>
        <w:rPr>
          <w:b/>
        </w:rPr>
        <w:t>E. 2.2.1</w:t>
      </w:r>
    </w:p>
    <w:p>
      <w:r>
        <w:t>Nach Art. 2 UWG ist jedes täuschende oder in anderer Weise gegen den Grundsatz von Treu und Glauben verstossende Verhalten oder Geschäftsgebaren unlauter und widerrechtlich, welches das Verhältnis zwischen Mitbewerbern oder zwischen Anbietern und Abnehmern beeinflusst. Unlauter handelt gemäss Art. 3 Abs. 1 lit. d UWG insbesondere, wer Massnahmen trifft, die geeignet sind, Verwechslungen mit den Waren, Werken, Leistungen oder dem Geschäftsbetrieb eines anderen herbeizuführen. Unlauter handelt nach Art. 3 Abs. 1 lit. e UWG insbesondere auch, wer sich, seine Waren, Werke, Leistungen oder deren Preise in unrichtiger, irreführender, unnötig herabsetzender oder anlehnender Weise mit anderen, ihren Waren, Werken, Leistungen oder deren Preisen vergleicht oder in entsprechender Weise Dritte im Wettbewerb begünstigt.</w:t>
      </w:r>
    </w:p>
    <w:p>
      <w:r>
        <w:rPr>
          <w:b/>
        </w:rPr>
        <w:t>E. 2.2.2</w:t>
      </w:r>
    </w:p>
    <w:p>
      <w:r>
        <w:t>Da nur täuschende oder in anderer Weise gegen den Grundsatz von Treu und Glauben verstossende Verhaltensweisen als unlauter gelten, erfordert die Prüfung einer Verletzung von Art. 3 Abs. 1 lit. d bzw. lit. e UWG einen Ermessensentscheid des Gerichts mit wertender Berücksichtigung der gesamten Umstände. Die Vorinstanz stellte fest, dass die Geschäftsbetriebe der Parteien nicht in unmittelbarer Nähe voneinander stehen, dass die Beschwerdegegner andere Dienstleistungen als das ehemalige Einzelunternehmen E.________ erbringen, und dass der Domain-Name und die Telefonnummer infolge der Nichtweiterführung des Betriebs von E.________ bzw. F.________ auf dem Markt erhältlich waren. Weiter erwog die Vorinstanz, dass das Verhalten der Beschwerdegegner nicht als Anlehnung, sondern als Aufklärung der Klientschaft aufzufassen sei. Folglich kam sie unter Berücksichtigung der Umstände des konkreten Falles zum Ergebnis, dass die Beschwerdegegner kein täuschendes Verhalten an den Tag legten. Dass - entgegen der Auffassung der Vorinstanz - eine Verletzung des UWG klarerweise vorliegt, trifft nicht zu. Im Gegenteil zeigen die Ausführungen der Vorinstanz, dass die Prüfung einer solchen Verletzung einer eingehenden Wertung bedarf, und dass sich die Rechtsfolge im konkreten Fall nicht ohne Weiteres ergibt. Folglich kann die Rechtslage vorliegend nicht als klar im Sinne von Art. 257 Abs. 1 lit. b ZPO gelten. Ob ein liquider Sachverhalt vorliegt, kann somit offenbleiben.</w:t>
      </w:r>
    </w:p>
    <w:p>
      <w:r>
        <w:rPr>
          <w:b/>
        </w:rPr>
        <w:t>E. 3</w:t>
      </w:r>
    </w:p>
    <w:p>
      <w:r>
        <w:t>Die Beschwerde ist abzuweisen, soweit darauf eingetreten werden kann. Der Beschwerdeführer wird bei diesem Verfahrensausgang kostenpflichtig ( Art. 66 Abs. 1 BGG ). Die Beschwerdegegner haben keinen Anspruch auf eine Parteientschädigung, da auf die Einholung einer Beschwerdeantwort verzichtet worden und ihnen im bundesgerichtlichen Verfahren insoweit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