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4A_93/2012 vom 21. Mai 2012</w:t>
      </w:r>
    </w:p>
    <w:p>
      <w:r>
        <w:t>Bundesgericht, 2012-05-21, FR</w:t>
      </w:r>
    </w:p>
    <w:p>
      <w:r>
        <w:rPr>
          <w:b/>
        </w:rPr>
        <w:t xml:space="preserve">Quelle: </w:t>
      </w:r>
      <w:r>
        <w:t>https://mcp.opencaselaw.ch/entscheid/bger_4A_93_2012</w:t>
      </w:r>
    </w:p>
    <w:p>
      <w:r>
        <w:t>FR: TF 4A_93/2012 du 21 mai 2012</w:t>
      </w:r>
    </w:p>
    <w:p>
      <w:r>
        <w:t>IT: TF 4A_93/2012 del 21 maggio 2012</w:t>
      </w:r>
    </w:p>
    <w:p>
      <w:pPr>
        <w:pStyle w:val="Heading2"/>
      </w:pPr>
      <w:r>
        <w:t>Erwägungen</w:t>
      </w:r>
    </w:p>
    <w:p>
      <w:r>
        <w:rPr>
          <w:b/>
        </w:rPr>
        <w:t>E. 1.1</w:t>
      </w:r>
    </w:p>
    <w:p>
      <w:r>
        <w:t>Interjeté par la partie qui a succombé dans ses conclusions libératoire et reconventionnelle ( art. 76 al. 1 LTF ) et dirigé contre un arrêt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t>En l'espèce, les recourants, aux pages 3 à 6 de leur mémoire, présentent un bref rappel des faits, soulignant que l'état de fait établi par la cour cantonale "se révèle sommaire, voire même partisan". Dans cette partie de leur mémoire, ils ne montrent cependant pas de manière précise quels faits pertinents auraient été retenus ou omis en contradiction manifeste avec le résultat univoque de l'administration des preuves (cf. arrêt 4A_132/2011 du 1er juin 2011 consid. 1.3 et la référence). En conséquence, ils ne formulent pas avec la précision requise, dans leur rappel des faits, un grief à l'encontre des constatations cantonales (art. 97 al. 1 et 105 al. 2 LTF) et le Tribunal fédéral ne voit aucune raison de s'écarter de l'état de fait contenu dans la décision attaquée ( art. 105 al. 1 et 2 LTF ).</w:t>
      </w:r>
    </w:p>
    <w:p>
      <w:r>
        <w:rPr>
          <w:b/>
        </w:rPr>
        <w:t>E. 1.4</w:t>
      </w:r>
    </w:p>
    <w:p>
      <w:r>
        <w:t>Le Tribunal fédéral ne peut aller au-delà des conclusions des parties ( art. 107 al. 1 LTF ). Toute conclusion nouvelle est irrecevable ( art. 99 al. 2 LTF ).</w:t>
      </w:r>
    </w:p>
    <w:p>
      <w:r>
        <w:rPr>
          <w:b/>
        </w:rPr>
        <w:t>E. 2</w:t>
      </w:r>
    </w:p>
    <w:p>
      <w:r>
        <w:t>Les recourants invoquent une violation du droit d'être entendu ( art. 29 al. 2 Cst. ) sous l'angle de leur droit à une décision motivée.</w:t>
      </w:r>
    </w:p>
    <w:p>
      <w:r>
        <w:rPr>
          <w:b/>
        </w:rPr>
        <w:t>E. 2.1</w:t>
      </w:r>
    </w:p>
    <w:p>
      <w:r>
        <w:t>La jurisprudence a déduit du droit d'être entendu garanti par l' art. 29 al. 2 Cst. notamment l'obligation pour l'autorité de motiver sa décision, de telle manière que son destinataire puisse en saisir la portée et l'attaquer s'il y a lieu en connaissance de cause ( ATF 134 I 83 consid. 4.1 p. 88; 133 I 270 consid. 3.1 p. 377).</w:t>
      </w:r>
    </w:p>
    <w:p>
      <w:r>
        <w:t>Le juge n'a cependant pas l'obligation de s'exprimer, dans sa décision, sur tous les faits et tous les arguments juridiques qui ont été présentés; il peut se limiter à exposer les éléments essentiels qui l'ont guidé dans sa décision ( ATF 135 III 670 consid. 3.3.1 p. 677; 134 I 83 consid. 4.1 p. 88; 133 I 270 consid. 3.1 p. 377).</w:t>
      </w:r>
    </w:p>
    <w:p>
      <w:r>
        <w:rPr>
          <w:b/>
        </w:rPr>
        <w:t>E. 2.2</w:t>
      </w:r>
    </w:p>
    <w:p>
      <w:r>
        <w:t>Les recourants reprochent à la cour cantonale de ne pas avoir expliqué pourquoi elle n'a pas suivi leur argumentaire principal, sans toutefois indiquer quels étaient les propos tenus dans cet argumentaire; à défaut de motivation précise, ce pan du grief est irrecevable (cf. supra consid. 1.2).</w:t>
      </w:r>
    </w:p>
    <w:p>
      <w:r>
        <w:t>De l'avis des recourants, l'autorité précédente aurait également dû indiquer pour quels motifs elle a écarté "les principes évoqués par les HUG, à savoir le principe de la sécurité juridique ainsi que le principe de la bonne foi".</w:t>
      </w:r>
    </w:p>
    <w:p>
      <w:r>
        <w:t>S'agissant de ces principes, les recourants ne fournissent une brève motivation qu'en rapport avec celui de la bonne foi, soutenant que le juge civil doit protéger la confiance qu'ils ont placé dans les assurances reçues des autorités administratives. La cour cantonale a expliqué que l'intervention de l'OCIRT du 7 novembre 2007 ne constitue pas une décision, de sorte qu'elle ne lie pas le juge civil. Ensuite, de façon plus générale (et en dehors de la notion de décision), elle a laissé entendre, dans sa motivation relative aux "compétences parallèles", que le juge civil peut statuer librement sur les prétentions émises par les particuliers en application de la LTr, indépendamment des éventuelles mesures commandées par l'intérêt public qui ont pu être prises par les autorités administratives; la motivation permet ainsi de comprendre qu'à défaut d'une décision véritable prise par l'autorité administrative, aucun acte (intervention préalable, assurances données, ...) pris par celle-ci n'empêche le juge civil de statuer librement sur une question qui, comme en l'espèce, relève de sa compétence. Savoir si la motivation présentée est convaincante est une question distincte de celle du droit à une décision motivée (cf. à ce sujet infra consid. 4). Dès lors que l'on peut discerner les motifs qui ont guidé la décision du juge, le droit à une décision motivée est respecté (arrêt 4A_242/2009 du 10 décembre 2009 consid. 4.1 et la référence).</w:t>
      </w:r>
    </w:p>
    <w:p>
      <w:r>
        <w:t>En conséquence, la motivation présentée est suffisante pour comprendre la décision attaquée et il n'y a pas de violation du droit à une décision motivée.</w:t>
      </w:r>
    </w:p>
    <w:p>
      <w:r>
        <w:rPr>
          <w:b/>
        </w:rPr>
        <w:t>E. 3</w:t>
      </w:r>
    </w:p>
    <w:p>
      <w:r>
        <w:t>Les recourants considèrent que la cour cantonale a établi arbitrairement les faits ( art. 9 Cst. ) en retenant que les mesures ordonnées par l'OCIRT avaient exclu la solution du lissage sur deux semaines "faute d'avoir été accepté par l'AMIG" (arrêt entrepris p. 8).</w:t>
      </w:r>
    </w:p>
    <w:p>
      <w:r>
        <w:rPr>
          <w:b/>
        </w:rPr>
        <w:t>E. 3.1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t>S'agissant plus précisément de l'établissement des faits et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 134 II 244 consid. 2.2 p. 246).</w:t>
      </w:r>
    </w:p>
    <w:p>
      <w:r>
        <w:rPr>
          <w:b/>
        </w:rPr>
        <w:t>E. 3.2</w:t>
      </w:r>
    </w:p>
    <w:p>
      <w:r>
        <w:t>En l'occurrence, on ne voit pas, sur la base des explications fournies par les recourants, en quoi l'état de fait aurait été dressé de façon insoutenable par la cour cantonale. La quasi-totalité des participants à la réunion du 1er novembre 2007 ont expressément indiqué qu'aucun accord formel de la représentation des travailleurs (AMIG) n'a été communiqué lors de la séance et l'AMIG a répété son désaccord dans une lettre du 14 décembre 2007 adressé au SECO; les recourants ne contestent pas avoir pris connaissance de ce courrier qui les concernait directement.</w:t>
      </w:r>
    </w:p>
    <w:p>
      <w:r>
        <w:t>Quant aux affirmations de l'OCIRT (courrier du 7 novembre 2007), confirmées par le SECO (lettre du 11 janvier 2008), selon lesquelles les HUG devaient concrétiser au sein de l'établissement hospitalier les aménagements (régime dérogatoire à la LTr) proposés par l'OCIRT (avec délai au 1er octobre 2008), elles n'ont pas été ignorées par l'autorité précédente, mais au contraire exposées clairement dans l'arrêt entrepris. Il semble, en réalité, que les recourants reprochent à la cour cantonale de ne pas avoir donné suffisamment de poids aux affirmations de l'OCIRT et du SECO. Selon eux, les HUG pouvaient de bonne foi se fonder sur les assurances données par ces autorités pour organiser les heures de travail des chefs de clinique. Déterminer l'effet de ces assurances dans les circonstances d'espèce ne relève cependant plus de l'établissement des faits, mais il s'agit d'une question de droit (cf. infra consid. 4).</w:t>
      </w:r>
    </w:p>
    <w:p>
      <w:r>
        <w:t>Le grief d'arbitraire dans l'établissement des faits est infondé.</w:t>
      </w:r>
    </w:p>
    <w:p>
      <w:r>
        <w:rPr>
          <w:b/>
        </w:rPr>
        <w:t>E. 4</w:t>
      </w:r>
    </w:p>
    <w:p>
      <w:r>
        <w:t>Les recourants soulignent que, dans leurs courriers respectifs, l'OCIRT et le SECO, qui a fait sienne la position de l'OCIRT, ont confirmé aux HUG qu'il leur était donné un délai au 1er octobre 2008 pour la mise en conformité de la durée hebdomadaire de 50 heures, en moyenne sur deux semaines (solution du lissage), et de la limite des 140 heures de travail supplémentaires par année. Ils considèrent qu'ils étaient ainsi légitimés à se fonder sur les assurances reçues de l'OCIRT et du SECO quant aux modalités d'application de la LTr et à se prévaloir "du principe de la bonne foi, applicable aussi bien en droit privé qu'en droit public ( art. 2 CC )".</w:t>
      </w:r>
    </w:p>
    <w:p>
      <w:r>
        <w:rPr>
          <w:b/>
        </w:rPr>
        <w:t>E. 4.1</w:t>
      </w:r>
    </w:p>
    <w:p>
      <w:r>
        <w:t>A titre préalable, il faut constater que les recourants ne prétendent pas que l'OCIRT aurait pris une décision bénéficiant d'une force exécutoire, de sorte que le juge civil serait lié par la décision de l'autorité administrative. Sur ce point, ils ne contestent pas l'appréciation des magistrats cantonaux selon laquelle l'invitation de l'OCIRT du 7 novembre 2007, faite en vertu de l' art. 51 al. 1 LTr , constituait une simple intervention préalable de l'autorité. Ils laissent toutefois entendre que l'intervention de l'autorité administrative cantonale, confirmée dans un premier temps par le SECO, doit plutôt être assimilée à une promesse effective qui doit aujourd'hui être honorée par l'Etat et, partant, ne saurait être ignorée par le juge civil.</w:t>
      </w:r>
    </w:p>
    <w:p>
      <w:r>
        <w:t>Il n'est en outre pas contesté que les chefs de clinique (y compris l'intimée) sont engagés par les HUG sur la base d'un contrat de droit privé (auquel les art. 319 ss CO s'appliquent) et que les recourants peuvent invoquer le respect du principe de la bonne foi vis-à-vis des autorités puisqu'ils agissent ici en qualité de simple employeur.</w:t>
      </w:r>
    </w:p>
    <w:p>
      <w:r>
        <w:rPr>
          <w:b/>
        </w:rPr>
        <w:t>E. 4.2</w:t>
      </w:r>
    </w:p>
    <w:p>
      <w:r>
        <w:t>Le principe de la bonne foi était implicitement garanti par la Constitution fédérale du 29 mai 1974, sous l'angle du principe général de l'égalité de traitement ( art. 4 aCst. ). Il a été développé à l'origine sur la base des concepts propres au droit civil (cf. art. 2 CC ), et a été étendu par la jurisprudence à l'ensemble des domaines du droit ( ATF 83 II 345 consid. 2 p. 348 s.; AUER/MALINVERNI/HOTTELIER, Droit constitutionnel suisse, Vol. II, Les droits fondamentaux, 2e éd. 2006, p. 544 n. 1161; HANS MERZ, in Berner Kommentar, 1962, no 63 ss ad art. 2 CC ; ELISABETH CHIARELLO, Treu und Glauben als Grundrecht nach Art. 9 der schweizerischen Bundesverfassung, thèse Berne 2004, p. 99 ss).</w:t>
      </w:r>
    </w:p>
    <w:p>
      <w:r>
        <w:t>S'agissant de l'activité étatique (relation entre organes de l'Etat et particuliers), le principe de la bonne foi est dorénavant explicitement consacré par deux dispositions de la Constitution fédérale du 18 avril 1999, à savoir l' art. 5 al. 3 Cst. (obligation imposée à l'Etat) et l' art. 9 Cst. , cette dernière disposition représentant un droit constitutionnel qui peut être invoqué par le justiciable (cf. ATF 136 I 254 consid. 5.2 p. 261; 126 II 377 consid. 3a p. 387; MÜLLER/SCHEFER, Grundrechte in der Schweiz, 4e éd. 2008, p. 25; HÄFELIN/HALLER/KELLER, Schweizerisches Bundesstaatsrecht, 7e éd. 2008, § 25 n. 820; CHIARELLO, op. cit., p. 103 s.).</w:t>
      </w:r>
    </w:p>
    <w:p>
      <w:r>
        <w:t>En ce qui concerne les relations entre organes de l'Etat et particuliers, le principe de la bonne foi doit donc être directement rattaché à ces dispositions de la nouvelle Constitution fédérale, qui prennent le relais de l' art. 2 CC (ou des principes supérieurs que l'on déduisait de cette disposition) (PAUL-HENRI Steinauer, Le Titre préliminaire du Code civil, in TDPS II/1 2009, p. 183). Les recourants invoquent le principe de la bonne foi en rapport avec de prétendues assurances données par les autorités, et non dans le contexte d'une relation (de droit privé) entre particuliers. Il est donc douteux que leur moyen, tiré de l' art. 2 CC et non de l' art. 9 Cst. , soit recevable (cf. art. 106 al. 2 LTF et supra consid. 1.2). Vu l'issue du recours, la question peut toutefois rester indécise.</w:t>
      </w:r>
    </w:p>
    <w:p>
      <w:r>
        <w:rPr>
          <w:b/>
        </w:rPr>
        <w:t>E. 4.3</w:t>
      </w:r>
    </w:p>
    <w:p>
      <w:r>
        <w:t>Le principe de la bonne foi garantit à l'administré le droit d'être protégé dans la confiance que celui-ci place légitimement dans les assurances qu'il reçoit des autorités. L'administré peut, à certaines conditions, exiger de l'autorité qu'elle se conforme aux promesses ou aux assurances qu'elle lui a faites et ne trompe pas la confiance qu'il a légitimement placée dans celles-ci. De jurisprudence constante, ces conditions sont les suivantes. Il faut: a) que l'autorité soit intervenue dans une situation concrète à l'égard de personnes déterminées; b) qu'elle ait agi ou soit censée avoir agi dans les limites de sa compétence; c) que l'administré n'ait pu se rendre compte immédiatement de l'inexactitude de l'acte selon lequel il a réglé sa conduite; d) qu'il se soit fondé sur l'acte en question pour prendre des dispositions qui ne peuvent être modifiées sans préjudice; e) que la loi n'ait pas changé depuis le moment où l'assurance a été donnée (cf. ATF 131 II 627 consid. 6.1 p. 636 s. et les nombreuses références citées; récemment: arrêt 9C_429/2011 du 15 mars 2012 consid. 5.1).</w:t>
      </w:r>
    </w:p>
    <w:p>
      <w:r>
        <w:t>La protection de la confiance qu'on peut avoir dans les assurances données ne peut produire d'effet direct que dans les rapports entre un particulier et les autorités, c'est-à-dire l'Etat ( ATF 96 II 161 consid. 4b p. 169). Il en est ainsi, par exemple, lorsqu'une autorité à laquelle on a recouru admet un recours tardif pour la raison que la juridiction précédente avait indiqué par erreur à la partie intéressée que le délai de recours s'élevait à trente jours, alors qu'il n'était que de vingt jours. Certes, dans cet exemple, la protection de la confiance produit un effet sur la partie adverse puisque cette partie doit procéder sur un moyen qui a été présenté tardivement; il ne s'agit toutefois que d'une simple conséquence de la protection (blosse Reflexwirkung des Schutzes) que l'autorité doit assurer à celui qui a demandé des instructions sur les voies de recours, cela en vertu du principe de la bonne foi qui régit les rapports existant entre elle et lui (cf. ATF 96 II 161 consid. 4b p. 169; BEATRICE WEBER-DÜRLER, Vertrauensschutz im öffentlichen Recht, thèse d'habilitation Bâle 1983, p. 148 et les références).</w:t>
      </w:r>
    </w:p>
    <w:p>
      <w:r>
        <w:t>En l'occurrence, dans l'hypothèse où les conditions d'application du droit à la protection de la bonne foi seraient réalisées (cf. toutefois infra consid. 4.4), les recourants pourraient, dans leur rapport (direct) avec l'autorité administrative, se prévaloir des assurances que celle-ci leur a fournies. Ce n'est toutefois pas ce que veulent les recourants en l'espèce; ils tentent de donner un effet "transversal" à la protection de la confiance, se prévalant des assurances reçues pour écarter la prétention émise par l'employée (intimée) sur la base de son contrat de travail.</w:t>
      </w:r>
    </w:p>
    <w:p>
      <w:r>
        <w:t>Il faut d'emblée rappeler que l'employée n'a pas participé à la "procédure" administrative durant laquelle des assurances (aménagements proposés par l'OCIRT) ont été données à son employeur. Elle fait valoir ses prétentions sur la base d'un contrat de travail conclu avec les HUG; le régime dérogatoire proposé par l'OCIRT aux HUG est totalement étranger à cette relation contractuelle qui est soumise aux dispositions impératives de la LTr (notamment l' art. 9 LTr ).</w:t>
      </w:r>
    </w:p>
    <w:p>
      <w:r>
        <w:t>Cela étant, la situation d'espèce est totalement différente du cas de figure traitant du renseignement erroné donné par l'autorité; le fait que l'employée ne puisse plus faire valoir ses prétentions, selon la thèse défendue par les recourants, n'est pas, comme dans le précédent évoqué, la "simple conséquence", pour l'employée, de la protection que l'autorité doit assurer à l'employeur à qui des promesses ont été faites. Force est ici de constater que les HUG voudraient lier (directement) les tribunaux civils par les assurances qu'elles ont reçues, dans une procédure distincte, de la part des autorités administratives afin de faire obstacle aux prétentions émises par l'employée sur la base de son contrat de travail. Un tel effet juridique sur les prétentions tirées d'une relation contractuelle liant des particuliers ne peut être déduit du principe de la bonne foi (cf. ATF 96 II 161 consid. 4b p. 169 s.). Admettre un tel effet équivaudrait à accepter que l'employeur puisse faire supporter directement à l'employée le préjudice qu'il a subi du fait des dispositions qu'il a prises lui-même sur la base des assurances (contraire à la loi) qu'il a personnellement reçues de l'autorité administrative. On ne saurait raisonnablement accepter une telle conséquence, ce d'autant plus qu'elle placerait l'employée dans une situation inextricable; en effet, de son côté, celle-ci n'a reçu aucune promesse de l'autorité administrative, et elle ne pourrait invoquer ni la protection de sa bonne foi (cf. arrêt 2C_771/2010 du 22 mars 2011 consid. 5.3) ni aucun autre fondement juridique pour réclamer à l'Etat le préjudice mis à sa charge par l'employeur.</w:t>
      </w:r>
    </w:p>
    <w:p>
      <w:r>
        <w:t>C'est donc à bon droit que la cour cantonale a considéré que le juge civil, qui devait prendre une décision sur les prétentions émises par l'intimée sur la base de son contrat de travail et des règles impératives de la LTr, n'était pas lié par les assurances données par l'autorité administrative.</w:t>
      </w:r>
    </w:p>
    <w:p>
      <w:r>
        <w:rPr>
          <w:b/>
        </w:rPr>
        <w:t>E. 4.4</w:t>
      </w:r>
    </w:p>
    <w:p>
      <w:r>
        <w:t>Au demeurant, on peut encore rappeler qu'il incombe à l'administré qui entend se plaindre avec succès de la violation d'une promesse d'établir la réalisation de toutes les conditions dont dépend le droit à la protection de la bonne foi (ANDRÉ GRISEL, Traité de droit administratif, Vol. I, 1984, p. 390). Or, il découle des faits établis par la cour cantonale que, même à admettre la compétence de l'OCIRT (qui a reçu dans un premier temps l'appui du SECO) en l'espèce (cf. supra consid. 4.3 condition b), les recourants n'ont pas démontré qu'ils ne pouvaient s'apercevoir du caractère illégal de l'acte selon lequel ils ont réglé leur conduite (cf. supra consid. 4.3 condition c).</w:t>
      </w:r>
    </w:p>
    <w:p>
      <w:r>
        <w:t>Il ressort clairement du texte légal (cf. art. 28 LTr ) qu'il ne peut être dérogé aux prescriptions impératives de la LTr qu'avec l'accord des travailleurs (majorité des travailleurs intéressés ou de leurs représentants dans l'entreprise). Or, il résulte des constatations cantonales - qui lient le Tribunal fédéral ( art. 105 al. 1 LTF ) - que, lors de la séance du 1er novembre 2007 durant laquelle l'aménagement des conditions d'application de la LTr a été discuté, les intervenants n'ont pas constaté d'accord de l'AMIG, représentant les travailleurs. Les HUG ne pouvaient ainsi se fier aveuglément aux propositions contenues dans la lettre de l'OCIRT du 7 novembre 2007 et adapter leur organisation selon les modalités d'application de la LTr exposées dans ce courrier, ces aménagements ne respectant manifestement pas les exigences de l' art. 28 LTr . En prêtant l'attention commandée par les circonstances, les HUG, par la simple lecture du texte légal (cf. ATF 5A_704/2011 du 23 février 2012 consid. 8.3.2), auraient dû s'apercevoir de l'erreur commise par l'OCIRT. Dans l'esprit des recourants, il ne pouvait y avoir aucun doute quant au désaccord de l'AMIG, cette association ayant encore expressément contesté, le 14 décembre 2007, la solution du lissage présentée par l'OCIRT (cf. également supra consid. 3.2). Le caractère illégal de l'assurance donnée par l'administration était donc patent et il importe peu à cet égard que la position de l'OCIRT ait été, dans un premier temps, confirmée par le SECO (celui-ci affirmant finalement, le 8 avril 2008, qu'aucune dérogation ne pouvait être octroyée, compte tenu du refus de l'AMIG).</w:t>
      </w:r>
    </w:p>
    <w:p>
      <w:r>
        <w:t>Le moyen, pour autant qu'il soit recevable, doit être déclaré mal fondé.</w:t>
      </w:r>
    </w:p>
    <w:p>
      <w:r>
        <w:rPr>
          <w:b/>
        </w:rPr>
        <w:t>E. 5</w:t>
      </w:r>
    </w:p>
    <w:p>
      <w:r>
        <w:t>Il résulte des considérations qui précédent que le recours doit être rejeté dans la mesure où il est recevable.</w:t>
      </w:r>
    </w:p>
    <w:p>
      <w:r>
        <w:t>Les frais judiciaires et les dépens sont mis à la charge des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