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4A_93/2009 vom 14. April 2009</w:t>
      </w:r>
    </w:p>
    <w:p>
      <w:r>
        <w:t>Bundesgericht, 2009-04-14, DE</w:t>
      </w:r>
    </w:p>
    <w:p>
      <w:r>
        <w:rPr>
          <w:b/>
        </w:rPr>
        <w:t xml:space="preserve">Quelle: </w:t>
      </w:r>
      <w:r>
        <w:t>https://mcp.opencaselaw.ch/entscheid/bger_4A_93_2009</w:t>
      </w:r>
    </w:p>
    <w:p>
      <w:r>
        <w:t>FR: TF 4A_93/2009 du 14 avril 2009</w:t>
      </w:r>
    </w:p>
    <w:p>
      <w:r>
        <w:t>IT: TF 4A_93/2009 del 14 aprile 2009</w:t>
      </w:r>
    </w:p>
    <w:p>
      <w:pPr>
        <w:pStyle w:val="Heading2"/>
      </w:pPr>
      <w:r>
        <w:t>Erwägungen</w:t>
      </w:r>
    </w:p>
    <w:p>
      <w:r>
        <w:rPr>
          <w:b/>
        </w:rPr>
        <w:t>E. 1</w:t>
      </w:r>
    </w:p>
    <w:p>
      <w:r>
        <w:t>Das Bundesgericht prüft von Amtes wegen und mit freier Kognition, ob ein Rechtsmittel zulässig ist ( BGE 135 III 1 E. 1.1).</w:t>
      </w:r>
    </w:p>
    <w:p>
      <w:r>
        <w:rPr>
          <w:b/>
        </w:rPr>
        <w:t>E. 2</w:t>
      </w:r>
    </w:p>
    <w:p>
      <w:r>
        <w:t>Vorinstanz ist vorliegend das Landgerichtspräsidium Uri. Die Kantone setzen als letzte kantonale Instanzen obere Gerichte ein ( Art. 75 Abs. 2, Art. 114 BGG ). Diese müssen grundsätzlich als Rechtsmittelinstanzen entscheiden (Prinzip des doppelten Instanzenzuges). Zur notwendigen Anpassung steht den Kantonen eine Übergangsfrist zu, die noch nicht abgelaufen ist ( Art. 130 Abs. 2 BGG ). Es bleibt daher für das Eintreten ohne Konsequenz, dass es sich beim Landgerichtspräsidium nicht um ein oberes Gericht im Sinne von Art. 75 Abs. 2 BGG handelt.</w:t>
      </w:r>
    </w:p>
    <w:p>
      <w:r>
        <w:rPr>
          <w:b/>
        </w:rPr>
        <w:t>E. 3.1</w:t>
      </w:r>
    </w:p>
    <w:p>
      <w:r>
        <w:t>In vermögensrechtlichen Angelegenheiten ist die Beschwerde in Zivilsachen in arbeitsrechtlichen Fällen grundsätzlich nur gegeben, wenn der Streitwert mindestens Fr. 15'000.-- beträgt ( Art. 74 Abs. 1 lit. a BGG ). Vorliegend beträgt der Streitwert lediglich Fr. 2'690.80, weshalb sich die Beschwerde in Zivilsachen insofern als unzulässig erweist.</w:t>
      </w:r>
    </w:p>
    <w:p>
      <w:r>
        <w:rPr>
          <w:b/>
        </w:rPr>
        <w:t>E. 3.2</w:t>
      </w:r>
    </w:p>
    <w:p>
      <w:r>
        <w:t>Erreicht der Streitwert den massgebenden Betrag nicht, ist die Beschwerde in Zivilsachen dennoch zulässig, wenn sich eine Rechtsfrage von grundsätzlicher Bedeutung stellt ( Art. 74 Abs. 2 lit. a BGG ). Der Begriff der Rechtsfrage von grundsätzlicher Bedeutung ist restriktiv auszulegen. Soweit es bei der aufgeworfenen Frage lediglich um die Anwendung von Grundsätzen der Rechtsprechung auf einen konkreten Fall geht, handelt es sich nicht um eine Rechtsfrage von grundsätzlicher Bedeutung ( BGE 135 III 1 E. 1.3 S. 4; 134 III 115 E. 1.2 S. 117; 133 III 493 E. 1.1 und 1.2 S. 495 f.). Ist eine Beschwerde nur unter der Voraussetzung zulässig, dass sich eine Rechtsfrage von grundsätzlicher Bedeutung stellt, ist in der Beschwerdeschrift auszuführen, warum diese Voraussetzung erfüllt ist ( Art. 42 Abs. 2 BGG ).</w:t>
      </w:r>
    </w:p>
    <w:p>
      <w:r>
        <w:t>Der Beschwerdeführer bringt diesbezüglich vor, es seien die wichtigen Rechtsfragen zu entscheiden, ob es sich bei der in der Betriebsvereinbarung enthaltenen Lohnkürzung aus disziplinarischen Gründen um eine Konventionalstrafe handle, ob eine solche gültig in einer Betriebsvereinbarung angeordnet werden könne und wenn ja, unter welchen Voraussetzungen. Letztlich gehe es auch um die grundsätzliche Respektierung der Sozialpartnerschaft in der heutigen angespannten Arbeitsmarktlage.</w:t>
      </w:r>
    </w:p>
    <w:p>
      <w:r>
        <w:t>Die Zulässigkeit der Beschwerde in Zivilsachen kann nicht dadurch begründet werden, dass der Beschwerdeführer eine Rechtsfrage aufwirft, die im konkreten Fall gar nicht zu entscheiden ist. In Ziffer 11 der Betriebsvereinbarung wird offensichtlich nicht eine Konventionalstrafe zulasten des Arbeitnehmers statuiert. Die vom Beschwerdeführer aufgeworfene Frage, ob eine Konventionalstrafe in einer Betriebsvereinbarung angeordnet werden kann, stellt sich daher gar nicht. Es kann mithin dahingestellt bleiben, ob diese Rechtsfrage als eine solche von grundsätzlicher Bedeutung zu betrachten gewesen wäre. Denn vorliegend geht es um die Auslegung einer Bestimmung der Betriebsvereinbarung, die sich auf eine Delegationsnorm in einem GAV stützt. Nach welchen Grundsätzen dies zu erfolgen hat, hat das Bundesgericht bereits entschieden (vgl. BGE 133 III 213 E. 4.3.2 S. 216). Die Anwendung auf den konkreten Fall beinhaltet keine Rechtsfrage von grundsätzlicher Bedeutung.</w:t>
      </w:r>
    </w:p>
    <w:p>
      <w:r>
        <w:t>Auch die Wahrung der Sozialpartnerschaft ist offensichtlich nicht berührt, sofern in dieser allgemeinen Thematik überhaupt eine Rechtsfrage erblickt werden könnte. Die Betriebsvereinbarung, die sich auf eine Delegationsnorm des anwendbaren GAV stützt, wurde unter Mitwirkung der Arbeitnehmervertretung und von Gewerkschaften ausgehandelt.</w:t>
      </w:r>
    </w:p>
    <w:p>
      <w:r>
        <w:t>Da sich keine Rechtsfrage von grundsätzlicher Bedeutung stellt, erweist sich die Beschwerde in Zivilsachen als unzulässig. Auf sie kann nicht eingetreten werden.</w:t>
      </w:r>
    </w:p>
    <w:p>
      <w:r>
        <w:rPr>
          <w:b/>
        </w:rPr>
        <w:t>E. 4</w:t>
      </w:r>
    </w:p>
    <w:p>
      <w:r>
        <w:t>Nachdem gegen den angefochtenen Entscheid die Beschwerde in Zivilsachen ausgeschlossen ist, erweist sich die eventualiter erhobene subsidiäre Verfassungsbeschwerde grundsätzlich als zulässig ( Art. 113 BGG ).</w:t>
      </w:r>
    </w:p>
    <w:p>
      <w:r>
        <w:rPr>
          <w:b/>
        </w:rPr>
        <w:t>E. 4.1</w:t>
      </w:r>
    </w:p>
    <w:p>
      <w:r>
        <w:t>Mit Verfassungsbeschwerde kann nur die Verletzung verfassungsmässiger Rechte gerügt werden ( Art. 116 BGG ). Dafür gilt eine qualifizierte Rügepflicht. Das Bundesgericht prüft die Verletzung verfassungsmässiger Rechte nur insofern, als eine solche Rüge in der Beschwerde präzise vorgebracht und begründet worden ist (Art. 117 i.V.m. 106 Abs. 2 BGG; BGE 134 II 244 E. 2.2; 133 III 439 E. 3.2).</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134 I 140 E. 5.4 S. 148 ; 133 I 149 E. 3.1; 132 III 209 E. 2.1; je mit Hinweisen).</w:t>
      </w:r>
    </w:p>
    <w:p>
      <w:r>
        <w:t>Zu beachten ist, dass dem Sachgericht im Bereich der Beweiswürdigung ein erheblicher Ermessensspielraum zusteht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118 Ia 28 E. 1b S. 30).</w:t>
      </w:r>
    </w:p>
    <w:p>
      <w:r>
        <w:rPr>
          <w:b/>
        </w:rPr>
        <w:t>E. 4.2</w:t>
      </w:r>
    </w:p>
    <w:p>
      <w:r>
        <w:t>Der Beschwerdeführer nimmt in seiner Beschwerdeschrift keine Trennung der Ausführungen zur Beschwerde in Zivilsachen und zur subsidiären Verfassungsbeschwerde vor. Rügen der Verletzung verfassungsmässiger Rechte sind daher schwer zu erkennen. Immerhin bezeichnet er gewisse Erwägungen der Vorinstanz verschiedentlich als willkürlich. Zudem vertritt er die Ansicht, die Vorinstanz sei bei der Feststellung des Sachverhalts und der Würdigung der Beweise in Willkür verfallen.</w:t>
      </w:r>
    </w:p>
    <w:p>
      <w:r>
        <w:t>Was er zur Begründung vorbringt, erschöpft sich jedoch in blosser appellatorischer Kritik. So stellt er der überzeugenden Interpretation der Vorinstanz von Ziffer 11 der Betriebsvereinbarung lediglich seine eigene Deutung gegenüber, ohne aber konkret aufzuzeigen, inwiefern der angefochtene Entscheid willkürlich im oben umschriebenen Sinn sein soll. Ebenso wenig vermag er hinlänglich darzulegen, inwiefern die Sachverhaltsfeststellung und die Beweiswürdigung der Vorinstanz im Zusammenhang mit den Gründen, die zur Kündigung geführt haben, willkürlich sein sollen.</w:t>
      </w:r>
    </w:p>
    <w:p>
      <w:r>
        <w:t>Da die erhobene Willkürrüge nicht rechtsgenüglich begründet ist und sonst keine Rügen einer Verletzung verfassungsmässiger Rechte erhoben werden, kann auf die subsidiäre Verfassungsbeschwerde nicht eingetreten werden.</w:t>
      </w:r>
    </w:p>
    <w:p>
      <w:r>
        <w:rPr>
          <w:b/>
        </w:rPr>
        <w:t>E. 5</w:t>
      </w:r>
    </w:p>
    <w:p>
      <w:r>
        <w:t>Aus diesen Gründen kann weder auf die Beschwerde in Zivilsachen noch auf die subsidiäre Verfassungsbeschwerde eingetreten werden.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