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4A_92/2020 vom 5. August 2020</w:t>
      </w:r>
    </w:p>
    <w:p>
      <w:r>
        <w:t>Bundesgericht, 2020-08-05, FR</w:t>
      </w:r>
    </w:p>
    <w:p>
      <w:r>
        <w:rPr>
          <w:b/>
        </w:rPr>
        <w:t xml:space="preserve">Quelle: </w:t>
      </w:r>
      <w:r>
        <w:t>https://mcp.opencaselaw.ch/entscheid/bger_4A_92_2020</w:t>
      </w:r>
    </w:p>
    <w:p>
      <w:r>
        <w:t>FR: TF 4A_92/2020 du 5 août 2020</w:t>
      </w:r>
    </w:p>
    <w:p>
      <w:r>
        <w:t>IT: TF 4A_92/2020 del 5 agosto 2020</w:t>
      </w:r>
    </w:p>
    <w:p>
      <w:pPr>
        <w:pStyle w:val="Heading2"/>
      </w:pPr>
      <w:r>
        <w:t>Erwägungen</w:t>
      </w:r>
    </w:p>
    <w:p>
      <w:r>
        <w:rPr>
          <w:b/>
        </w:rPr>
        <w:t>E. 1</w:t>
      </w:r>
    </w:p>
    <w:p>
      <w:r>
        <w:t>Le litige porte sur une assurance complémentaire à l'assurance-maladie sociale, régie par la loi fédérale sur le contrat d'assurance (LCA; RS 221.229.1; cf. art. 2 al. 2 de la loi fédérale sur la surveillance de l'assurance-maladie sociale [LSAMal; RS 832.12]). Ce type de conflit ressortit à la matière civile au sens de l' art. 72 al. 1 LTF ( ATF 138 III 2 consid. 1.1; arrêt 4A_228/2019 du 2 septembre 2019 consid. 1).</w:t>
      </w:r>
    </w:p>
    <w:p>
      <w:r>
        <w:t>Au surplus, l'arrêt attaqué est une décision finale ( art. 90 LTF ) rendue par la Cour de justice de la République et canton de Genève statuant en qualité d'instance cantonale unique au sens de l' art. 7 CPC ( art. 134 al. 1 let . c LOJ/GE [RS/GE E 2 05]; cf. art. 75 al. 2 let. a LTF et ATF 138 III 799 consid. 1.1). Aussi le présent recours est-il ouvert sans égard à la valeur litigieuse ( art. 74 al. 2 let. b LTF ). Interjeté au surplus par la demanderesse qui a succombé dans ses conclusions ( art. 76 al. 1 LTF ), dans le délai fixé par la loi ( art. 100 al. 1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3</w:t>
      </w:r>
    </w:p>
    <w:p>
      <w:r>
        <w:t>La recourante invoque essentiellement l'ambiguïté de l' art. 8 al. 2 let . g et al. 3 des CGA, clause qui supprime le droit aux prestations en cas de fin des rapports de travail pendant le temps d'essai. Elle reproche à la cour cantonale d'avoir violé les art. 33 LCA , 18 CO, le principe de la confiance et le principe "</w:t>
      </w:r>
    </w:p>
    <w:p>
      <w:r>
        <w:t>in dubio contra stipulatorem " dans l'interprétation de cette clause.</w:t>
      </w:r>
    </w:p>
    <w:p>
      <w:r>
        <w:rPr>
          <w:b/>
        </w:rPr>
        <w:t>E. 3.1</w:t>
      </w:r>
    </w:p>
    <w:p>
      <w:r>
        <w:t>Préalablement, il s'impose de rappeler les obligations de l'employeur en cas de maladie d'un employé et les assurances qu'il peut souscrire pour s'en libérer.</w:t>
      </w:r>
    </w:p>
    <w:p>
      <w:r>
        <w:rPr>
          <w:b/>
        </w:rPr>
        <w:t>E. 3.1.1</w:t>
      </w:r>
    </w:p>
    <w:p>
      <w:r>
        <w:t>L'employeur a l'obligation de verser, pour un temps limité, le salaire du travailleur empêché de travailler pour cause de maladie ( art. 324a CO ). Pour autant qu'elle offre des prestations équivalentes, une assurance collective couvrant tout le personnel de l'entreprise peut libérer celle-ci d'une telle obligation, le risque lié à l'incapacité de travail étant alors assumé par l'assureur (cf. art. 324a al. 4 CO ; cf. entre autres RANZANICI, Les effets de l'incapacité de travailler pour cause d'une maladie successive à la résolution du contrat de travail, in: Regards croisés sur le droit du travail:</w:t>
      </w:r>
    </w:p>
    <w:p>
      <w:r>
        <w:t>Liber Amicorum pour Gabriel Aubert, 2015, p. 271 ss, pp. 272-274; BRULHART, L'assurance collective contre la perte de gain en cas de maladie, in: Le droit social dans la pratique de l'entreprise, 2006, p. 99 s.; cf. ATF 141 III 112 consid. 4.1-4.3 p. 113 s.).</w:t>
      </w:r>
    </w:p>
    <w:p>
      <w:r>
        <w:rPr>
          <w:b/>
        </w:rPr>
        <w:t>E. 3.1.2</w:t>
      </w:r>
    </w:p>
    <w:p>
      <w:r>
        <w:t>Dans l'assurance collective d'indemnités journalières selon les art. 67 ss de la loi fédérale du 18 mars 1994 sur l'assurance-maladie (LAMal; RS 832.10), la couverture d'assurance s'éteint lors de la cessation des rapports de travail et, lorsque l'incapacité de travail perdure au-delà de cette date, des prestations ne doivent être fournies que si et tant que le travailleur concerné reste, par son passage dans l'assurance individuelle, membre de la caisse-maladie (arrêt du Tribunal fédéral des assurances K 100/96 du 23 septembre 1997, reproduit in SVR 1998 KV 5 13, consid. 5c). En effet, selon la jurisprudence du Tribunal fédéral des assurances - critiquée par certains (cf. notamment M AURER, Das neue Krankenversicherungsrecht, 1996, p. 42), le droit aux prestations à l'encontre d'un assureur-maladie est lié à l'affiliation; à l'extinction du rapport d'assurance, le droit aux prestations n'est plus donné et il est mis fin à celles éventuellement en cours ( ATF 125 V 106 consid. 3 et les références citées). C'est pourquoi l' art. 71 LAMal prévoit que, lorsqu'un assuré sort de l'assurance collective parce qu'il cesse d'appartenir au cercle des assurés défini par le contrat ou parce que le contrat de travail est résilié, il a le droit de passer dans l'assurance individuelle de l'assureur ( ATF 127 III 106 consid. 3a pp. 108-109).</w:t>
      </w:r>
    </w:p>
    <w:p>
      <w:r>
        <w:rPr>
          <w:b/>
        </w:rPr>
        <w:t>E. 3.1.3</w:t>
      </w:r>
    </w:p>
    <w:p>
      <w:r>
        <w:t>Il en va différemment dans l'assurance collective d'indemnités journalières en cas de maladie soumise à la LCA, dans la mesure où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(MEUWLY, La durée de la couverture d'assurance privée, 1994, p. 185). Partant, en l'absence de clause conventionnelle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 ATF 127 III 106 consid. 3b pp. 109-110; MAURER, Schweizerisches Privatversicherungsrecht, 3e éd., 1995, p. 240).</w:t>
      </w:r>
    </w:p>
    <w:p>
      <w:r>
        <w:rPr>
          <w:b/>
        </w:rPr>
        <w:t>E. 3.2</w:t>
      </w:r>
    </w:p>
    <w:p>
      <w:r>
        <w:t>En l'espèce, l'assurance collective d'indemnités journalières est soumise à la LCA. Il y a donc lieu d'examiner si une clause conventionnelle limite ou supprime le droit aux prestations en cas de fin des rapports de travail pendant le temps d'essai.</w:t>
      </w:r>
    </w:p>
    <w:p>
      <w:r>
        <w:rPr>
          <w:b/>
        </w:rPr>
        <w:t>E. 3.2.1</w:t>
      </w:r>
    </w:p>
    <w:p>
      <w:r>
        <w:t>D'après l' art. 33 LCA , l'assureur répond, sauf disposition contraire de la loi, de tous les événements qui présentent le caractère du risque contre les conséquences duquel l'assurance a été conclue, à moins que le contrat n'exclue certains événements d'une manière précise, non équivoque.</w:t>
      </w:r>
    </w:p>
    <w:p>
      <w:r>
        <w:t>Il est de jurisprudence constante que les dispositions d'un contrat d'assurance, de même que les conditions générales qui y ont été expressément incorporées, doivent être interprétées selon les principes qui gouvernent l'interprétation des contrats ( ATF 135 III 410 consid. 3.2 p. 412), l' art. 100 al. 1 LCA prévoyant par ailleurs que le contrat d'assurance est régi par le droit des obligations pour tout ce qui n'est pas réglé par la LCA.</w:t>
      </w:r>
    </w:p>
    <w:p>
      <w:r>
        <w:rPr>
          <w:b/>
        </w:rPr>
        <w:t>E. 3.2.2</w:t>
      </w:r>
    </w:p>
    <w:p>
      <w:r>
        <w:t>Lorsque l'assureur, au moment de conclure, présente des conditions générales, il manifeste la volonté de s'engager selon les termes de ces conditions; si une volonté réelle et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(cf. ATF 136 III 186 consid. 3.2.1 p. 188; ATF 135 III 295 consid. 5.2 p. 302). Si l'interprétation selon le principe de la confiance ne permet pas de dégager le sens de clauses ambiguës, celles-ci sont à interpréter contre l'assureur qui les a rédigées, en vertu de la règle "</w:t>
      </w:r>
    </w:p>
    <w:p>
      <w:r>
        <w:t>in dubio contra stipulatorem " ( ATF 133 III 61 consid. 2.2.2.3 p. 69; 126 V 499 consid. 3b p. 503 s.; 124 III 155 consid. 1b p. 158; 122 III 118 consid. 2a p. 121; 119 II 368 consid. 4b p. 373).</w:t>
      </w:r>
    </w:p>
    <w:p>
      <w:r>
        <w:t>L' art. 33 LCA , en tant qu'il prévoit que les clauses d'exclusion sont opposables à l'assuré uniquement si elles sont rédigées de façon précise et non équivoque, est une concrétisation de cette règle ( ATF 115 II 264 consid. 5a p. 269; arrêt 5C.134/2002 du 17 septembre 2002 consid. 3.1). Conformément au principe de la confiance, c'est en effet à l'assureur qu'il incombe de délimiter la portée de l'engagement qu'il entend prendre et le preneur n'a pas à supposer des restrictions qui ne lui ont pas été clairement présentées ( ATF 133 III 675 consid. 3.3 p. 682; sous une forme résumée: ATF 135 III 410 consid. 3.2 p. 413). Pour que la règle "</w:t>
      </w:r>
    </w:p>
    <w:p>
      <w:r>
        <w:t>in dubio contra stipulatorem " s'applique, il ne suffit pas que les parties soient en litige sur la signification à donner à une déclaration; encore faut-il que celle-ci puisse de bonne foi être comprise de différentes façons ("</w:t>
      </w:r>
    </w:p>
    <w:p>
      <w:r>
        <w:t>zweideutig ") et qu'il soit impossible de lever autrement le doute créé, faute d'autres moyens d'interprétation ( ATF 122 III 118 consid. 2d p. 124; 118 II 342 consid. 1a p. 344; 100 II 144 consid. 4c p. 153).</w:t>
      </w:r>
    </w:p>
    <w:p>
      <w:r>
        <w:rPr>
          <w:b/>
        </w:rPr>
        <w:t>E. 3.2.3</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 145). Pour satisfaire à cette exigence, il lui suffit d'exposer, au moins brièvement, les motifs qui l'ont guidée et sur lesquels elle a fondé son raisonnement ( ATF 142 II 154 consid. 4.2 p. 157).</w:t>
      </w:r>
    </w:p>
    <w:p>
      <w:r>
        <w:rPr>
          <w:b/>
        </w:rPr>
        <w:t>E. 3.3</w:t>
      </w:r>
    </w:p>
    <w:p>
      <w:r>
        <w:t>La cour cantonale a interprété les art. 8.2 let. g et 8.3 en ce sens que le droit à des prestations d'assurance expire en cas de licenciement, à moins que la personne assurée ne reçoive à cette date des indemnités journalières, cette dernière exception ne s'appliquant toutefois pas en cas de licenciement pendant la période d'essai.</w:t>
      </w:r>
    </w:p>
    <w:p>
      <w:r>
        <w:rPr>
          <w:b/>
        </w:rPr>
        <w:t>E. 3.3.1</w:t>
      </w:r>
    </w:p>
    <w:p>
      <w:r>
        <w:t>Contrairement à ce que croit la recourante, l'interprétation d'une clause contractuelle selon le principe de la confiance ne tient évidemment pas compte de la façon dont l'employé assuré, qui n'est pas juridiquement partie au contrat, comprend la clause: il s'agit uniquement de déterminer comment un destinataire de bonne foi peut et doit comprendre cette clause.</w:t>
      </w:r>
    </w:p>
    <w:p>
      <w:r>
        <w:rPr>
          <w:b/>
        </w:rPr>
        <w:t>E. 3.3.2</w:t>
      </w:r>
    </w:p>
    <w:p>
      <w:r>
        <w:t>La recourante soutient encore que l'art. 8.2 des CGA prévoit que " [l]e droit à des prestations d'assurance expire pour les personnes assurées individuellement " dans plusieurs hypothèses et que les art. 8.2 let. g et 8.3 visent donc les " personnes ayant opté pour leur droit de passage en assurance individuelle " au sens de l'art. 11 des CGA (cf.</w:t>
      </w:r>
    </w:p>
    <w:p>
      <w:r>
        <w:t>supra consid. A.b). Si on la comprend bien, elle soutient que puisqu'est utilisée l'expression " personnes assurées individuellement ", c'est l'hypothèse décrite à cet article qui serait visée.</w:t>
      </w:r>
    </w:p>
    <w:p>
      <w:r>
        <w:t>La signification de cette expression n'est pas immédiatement limpide. Toutefois, il ressort clairement de la systématique de l'art. 8 des CGA que l'al. 1 (qui débute par " Le contrat d'assurance collective prend fin " et est suivi de cinq hypothèses) vise la fin du contrat d'assurance entre l'assureur et le preneur d'assurance (soit l'employeur), tandis que l'al. 2 vise les hypothèses dans lesquelles le droit aux prestations du bénéficiaire de l'assurance (soit l'employé) prend fin. Le mot " individuellement " sert dès lors à distinguer le bénéficiaire de l'assurance, qui est la " personne assurée ", du preneur d'assurance, qui est l'employeur.</w:t>
      </w:r>
    </w:p>
    <w:p>
      <w:r>
        <w:t>Contrairement à ce qu'avance la demanderesse, les CGA ne sont dès lors pas ambiguës et cette expression ne vise donc pas l'hypothèse décrite à l'art. 11 des CGA.</w:t>
      </w:r>
    </w:p>
    <w:p>
      <w:r>
        <w:rPr>
          <w:b/>
        </w:rPr>
        <w:t>E. 3.3.3</w:t>
      </w:r>
    </w:p>
    <w:p>
      <w:r>
        <w:t>Enfin, on peine à comprendre pour quel motif la demanderesse invoque une violation de son droit d'être entendue, dans la mesure où l'autorité précédente a motivé clairement et de manière circonstanciée les raisons l'ayant conduite à retenir que les CGA ne sont pas ambiguës.</w:t>
      </w:r>
    </w:p>
    <w:p>
      <w:r>
        <w:t>Le grief est mal fondé.</w:t>
      </w:r>
    </w:p>
    <w:p>
      <w:r>
        <w:rPr>
          <w:b/>
        </w:rPr>
        <w:t>E. 4</w:t>
      </w:r>
    </w:p>
    <w:p>
      <w:r>
        <w:t>La demanderesse considère que la défenderesse a fait preuve d'un comportement contraire à la bonne foi, notamment en ne s'étant pas prévalue plus rapidement de la limitation prévue dans les CGA. Elle ajoute qu'il lui était impossible de connaître la teneur des CGA.</w:t>
      </w:r>
    </w:p>
    <w:p>
      <w:r>
        <w:rPr>
          <w:b/>
        </w:rPr>
        <w:t>E. 4.1</w:t>
      </w:r>
    </w:p>
    <w:p>
      <w:r>
        <w:t>L' art. 3 al. 1 LCA dispose que l'assureur doit, avant la conclusion du contrat d'assurance, renseigner le preneur de manière compréhensible sur son identité et sur les principaux éléments du contrat d'assurance.</w:t>
      </w:r>
    </w:p>
    <w:p>
      <w:r>
        <w:t>L'al. 2 de ce même article précise que ces renseignements sont à fournir au preneur d'assurance de sorte qu'il puisse en avoir connaissance lorsqu'il fait la proposition de contrat d'assurance ou qu'il l'accepte et que, dans tous les cas, il doit être à ce moment-là en possession des conditions générales d'assurance.</w:t>
      </w:r>
    </w:p>
    <w:p>
      <w:r>
        <w:t>Pour que des conditions générales soient valablement intégrées, il faut dès lors que l'assureur ait donné la possibilité au preneur d'assurance de prendre connaissance de leur contenu (cf. TERCIER/PICHONNAZ, Le droit des obligations, 6</w:t>
      </w:r>
    </w:p>
    <w:p>
      <w:r>
        <w:t>e éd., 2019, n</w:t>
      </w:r>
    </w:p>
    <w:p>
      <w:r>
        <w:t>o 935 et les références).</w:t>
      </w:r>
    </w:p>
    <w:p>
      <w:r>
        <w:rPr>
          <w:b/>
        </w:rPr>
        <w:t>E. 4.2</w:t>
      </w:r>
    </w:p>
    <w:p>
      <w:r>
        <w:t>Le raisonnement de la demanderesse ne peut être suivi, dans la mesure où le délai de réaction de la défenderesse qu'elle estime tardif et dont elle se plaint était à son avantage.</w:t>
      </w:r>
    </w:p>
    <w:p>
      <w:r>
        <w:t>Dans la mesure où la défenderesse a cessé de fournir ses prestations relativement rapidement, soit moins de quatre mois après leur premier versement, le grief de la demanderesse tombe à faux. Il sera par ailleurs rappelé que seul l'abus manifeste d'un droit n'est pas protégé</w:t>
      </w:r>
    </w:p>
    <w:p>
      <w:r>
        <w:t>par la loi ( art. 2 al. 2 CC ), circonstance qui n'est pas réalisée en l'espèce.</w:t>
      </w:r>
    </w:p>
    <w:p>
      <w:r>
        <w:t>S'agissant de l'accessibilité des CGA, la demanderesse fait preuve d'une certaine contradiction, indiquant d'une part qu'il lui était " impossible [...] de les connaître " tout en affirmant par ailleurs les avoir trouvées sur internet. Elle ne rend pas crédibles les raisons qui l'auraient poussée à croire que la version des CGA qu'elle avait trouvée sur internet n'aurait pas été applicable en l'espèce.</w:t>
      </w:r>
    </w:p>
    <w:p>
      <w:r>
        <w:t>Le grief est infondé.</w:t>
      </w:r>
    </w:p>
    <w:p>
      <w:r>
        <w:rPr>
          <w:b/>
        </w:rPr>
        <w:t>E. 5</w:t>
      </w:r>
    </w:p>
    <w:p>
      <w:r>
        <w:t>Au vu de ce qui précède, le recours en matière civile doit être rejeté.</w:t>
      </w:r>
    </w:p>
    <w:p>
      <w:r>
        <w:t>Les frais judiciaires et les dépens sont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