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90/2016 vom 25. August 2016</w:t>
      </w:r>
    </w:p>
    <w:p>
      <w:r>
        <w:t>Bundesgericht, 2016-08-25, FR</w:t>
      </w:r>
    </w:p>
    <w:p>
      <w:r>
        <w:rPr>
          <w:b/>
        </w:rPr>
        <w:t xml:space="preserve">Quelle: </w:t>
      </w:r>
      <w:r>
        <w:t>https://mcp.opencaselaw.ch/entscheid/bger_4A_90_2016</w:t>
      </w:r>
    </w:p>
    <w:p>
      <w:r>
        <w:t>FR: TF 4A 90/2016 du 25 août 2016</w:t>
      </w:r>
    </w:p>
    <w:p>
      <w:r>
        <w:t>IT: TF 4A 90/2016 del 25 agosto 2016</w:t>
      </w:r>
    </w:p>
    <w:p>
      <w:pPr>
        <w:pStyle w:val="Heading2"/>
      </w:pPr>
      <w:r>
        <w:t>Regeste</w:t>
      </w:r>
    </w:p>
    <w:p>
      <w:r>
        <w:t>contrat de travail; simulation partielle | Droit des contrats</w:t>
      </w:r>
    </w:p>
    <w:p>
      <w:pPr>
        <w:pStyle w:val="Heading2"/>
      </w:pPr>
      <w:r>
        <w:t>Erwägungen</w:t>
      </w:r>
    </w:p>
    <w:p>
      <w:r>
        <w:rPr>
          <w:b/>
        </w:rPr>
        <w:t>E. 1.1</w:t>
      </w:r>
    </w:p>
    <w:p>
      <w:r>
        <w:t>Interjeté en temps utile ( art. 100 al. 1 LTF ) par la défenderesse, qui a succombé sur ses conclusions libératoires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est largement supérieure à 15'000 fr. ( art. 74 al. 1 let. a LTF ), le recours en matière civile est recevable au regard de ces dispositions.</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constitutif d'une violation du droit,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2.1.1</w:t>
      </w:r>
    </w:p>
    <w:p>
      <w:r>
        <w:t>La recourante affirme que la cour cantonale, en retenant que l'exception de prescription ne saurait être invoquée dans une procédure incidente, a consacré une application arbitraire du droit cantonal de procédure alors applicable, en particulier des art. 261 ss CPC /VD. Il serait ainsi indéfendable de lui interdire d'exciper de la prescription dans la procédure incidente qui a permis au demandeur d'introduire dans le procès de nouvelles prétentions auxquelles la défenderesse entend précisément opposer la prescription. Pour la recourante, la Cour d'appel paralyserait sans motif objectif et au mépris du sentiment de la justice l'exercice d'un droit institué par le droit fédéral, soit l' art. 128 CO . A l'en croire, il serait artificiel de distinguer les écritures effectuées lors d'incidents de procédure et les écritures au fond, car il s'agirait en réalité d'une seule et même procédure inscrite au rôle sous le même numéro de cause; peu importerait que la procédure incidente se déroulerait devant le Juge instructeur de la Cour civile, et non pas devant la Cour civile, puisque le Juge instructeur est un magistrat délégué par la Cour civile.</w:t>
      </w:r>
    </w:p>
    <w:p>
      <w:r>
        <w:rPr>
          <w:b/>
        </w:rPr>
        <w:t>E. 2.1.2</w:t>
      </w:r>
    </w:p>
    <w:p>
      <w:r>
        <w:t>L'autorité cantonale a jugé que la procédure civile vaudoise impose que la prescription soit invoquée dans la procédure écrite, soit dans les écritures au sens des art. 261 ss CPC /VD, que sont la demande, la réponse, la réplique et la duplique, lesquelles servent aux parties à articuler en une fois, autant que faire se peut, tous leurs moyens d'attaque et de défense. La prescription ne saurait être soulevée dans une procédure incidente, qui est distincte de la procédure écrite (cf. arrêt attaqué, consid. 3c).</w:t>
      </w:r>
    </w:p>
    <w:p>
      <w:r>
        <w:rPr>
          <w:b/>
        </w:rPr>
        <w:t>E. 2.1.3</w:t>
      </w:r>
    </w:p>
    <w:p>
      <w:r>
        <w:t>Par l'effet de l' art. 404 al. 1 CPC , la procédure de première instance est demeurée soumise à l'ancien droit cantonal, soit au code de procédure civile vaudois du 14 décembre 1966 (CPC/VD). Bien qu'elle relève du droit matériel, la prescription doit être soulevée selon les formes et au stade prévus par la procédure (arrêt 4A_210/2010 du 1er octobre 2010 consid. 7.1.1, non publié in ATF 136 III 502 ; 119 III 108 consid. 3a). C'est ainsi au droit cantonal vaudois qu'il appartient de fixer le moment du procès où cette exception peut être soulevée (JdT 2000 III 66 consid. 5a et les références de doctrine). En procédure civile vaudoise, la jurisprudence exige que le moyen de la prescription soit invoqué avec le fond, sous la forme d'une déclaration expresse dans la procédure écrite, avant la clôture de l'instruction préliminaire (JdT 2000 III 66 consid. 5b; 1961 III 95 in medio; POUDRET ET AL., Procédure civile vaudoise, 3e éd. 2002, n° 3 ad art. 270 CPC /VD, p. 421).</w:t>
      </w:r>
    </w:p>
    <w:p>
      <w:r>
        <w:rPr>
          <w:b/>
        </w:rPr>
        <w:t>E. 2.1.4</w:t>
      </w:r>
    </w:p>
    <w:p>
      <w:r>
        <w:t>In casu, la recourante s'est prévalue pour la première fois de la prescription dans son mémoire incident du 25 mai 2009, par lequel elle a conclu au rejet de la requête de réforme présentée le 18 mars 2009 par l'intimé, laquelle tendait à l'introduction de nouveaux allégués dans une réplique complémentaire. La recourante n'a jamais excipé de la prescription dans ses écritures de fond, c'est-à-dire dans sa réponse du 17 août 2005, dans sa duplique du 17 janvier 2006 et sa duplique complémentaire après réforme du 20 août 2009. Au vu de la jurisprudence vaudoise, il n'est pas arbitraire de dire qu'elle était irrecevable à le faire dans la procédure incidente de réforme, qui visait à l'introduction dans le procès de nouveaux allégués par le biais d'une réplique complémentaire. La cour cantonale n'a pas violé de manière insoutenable le droit cantonal en admettant, à l'instar de la Cour civile, que l'exception de prescription n'a pas été soulevée dans les formes prescrites par la procédure civile vaudoise.</w:t>
      </w:r>
    </w:p>
    <w:p>
      <w:r>
        <w:rPr>
          <w:b/>
        </w:rPr>
        <w:t>E. 2.2.1</w:t>
      </w:r>
    </w:p>
    <w:p>
      <w:r>
        <w:t>La recourante soutient que le Juge instructeur, dans le jugement incident du 26 mai 2009, a reconnu qu'elle avait valablement soulevé le moyen tiré de la prescription dans son mémoire du 25 mai 2009, de sorte qu'elle était légitimée à considérer que l'exception avait été présentée dans le respect des normes requises et qu'elle n'avait pas à l'invoquer une seconde fois dans sa duplique complémentaire après réforme du 20 août 2009. Pour ne l'avoir pas admis, la Cour d'appel a violé le principe de la bonne foi ( art. 5 al. 3 et 9 Cst. ).</w:t>
      </w:r>
    </w:p>
    <w:p>
      <w:r>
        <w:rPr>
          <w:b/>
        </w:rPr>
        <w:t>E. 2.2.2</w:t>
      </w:r>
    </w:p>
    <w:p>
      <w:r>
        <w:t>Aux termes de l' art. 5 al. 3 Cst. , les organes de l'Etat et les particuliers doivent agir de manière conforme aux règles de la bonne foi. Cela implique notamment qu'ils s'abstiennent d'adopter un comportement contradictoire ou abusif. De l' art. 9 Cst. découle le droit de toute personne à la protection de sa bonne foi dans ses relations avec l'Etat ( ATF 136 I 254 consid. 5.2 p. 261 et l'arrêt cité). Le droit à la protection de la bonne foi garantit ainsi à l'administré le droit d'être protégé dans la confiance que celui-ci place légitimement dans les assurances qu'il reçoit des autorités. L'administré peut, à certaines conditions, exiger de l'autorité qu'elle se conforme aux promesses ou aux assurances qu'elle lui a faites et ne trompe pas la confiance qu'il a légitimement placée dans celles-ci. De jurisprudence constante, ces conditions sont les suivantes. Il faut: a) que l'autorité soit intervenue dans une situation concrète à l'égard de personnes déterminées; b) qu'elle ait agi ou soit censée avoir agi dans les limites de sa compétence; c) que l'administré n'ait pu se rendre compte immédiatement de l'inexactitude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 arrêt 4A_93/2012 du 21 mai 2012 consid. 4.3, résumé in JdT 2013 II 201).</w:t>
      </w:r>
    </w:p>
    <w:p>
      <w:r>
        <w:rPr>
          <w:b/>
        </w:rPr>
        <w:t>E. 2.2.3</w:t>
      </w:r>
    </w:p>
    <w:p>
      <w:r>
        <w:t>Dans le jugement incident du 26 mai 2009, le Juge instructeur a écrit que la défenderesse " fait valoir qu'une éventuelle créance au titre des rétrocessions pour les années 1999 à 2002 serait prescrite ". Il s'agit là d'une pure constatation dénuée d'appréciation juridique. La recourante ne peut déduire de cette simple phrase dudit jugement incident une assurance qu'elle a soulevé dans les formes requises l'exception de prescription. En effet, le Juge instructeur n'est pas compétent pour statuer sur le fond du litige, mais bien la Cour civile (cf. art. 318, 318a et 318b CPC /VD). Le jugement qu'il rend dans le cadre d'une procédure incidente ne bénéficie pas de l'autorité de la chose jugée. En d'autres termes, la recourante ne peut pas exiger d'être protégée dans la confiance qu'elle s'est plu à accorder à un considérant du jugement incident. Aucune transgression des art. 5 al. 3 et 9 Cst. n'entre en ligne de compte.</w:t>
      </w:r>
    </w:p>
    <w:p>
      <w:r>
        <w:rPr>
          <w:b/>
        </w:rPr>
        <w:t>E. 2.3.1</w:t>
      </w:r>
    </w:p>
    <w:p>
      <w:r>
        <w:t>La recourante invoque également la protection constitutionnelle contre le formalisme excessif. Elle allègue qu'en exigeant que l'exception de prescription soit invoquée dans la procédure principale au fond, et non dans une procédure incidente, l'autorité cantonale pose une exigence procédurale qui n'a pas de justification ou de but légitime, mais entrave la réalisation du droit matériel.</w:t>
      </w:r>
    </w:p>
    <w:p>
      <w:r>
        <w:rPr>
          <w:b/>
        </w:rPr>
        <w:t>E. 2.3.2</w:t>
      </w:r>
    </w:p>
    <w:p>
      <w:r>
        <w:t>La prohibition du formalisme excessif est une forme de déni de justice contraire à l' art. 29 al. 1 Cst. ; il survient lorsque des règles de procédure sont appliquées avec une rigueur que ne justifie aucun intérêt digne de protection, au point que la procédure devient une fin en soi et empêche ou complique de manière insoutenable l'application du droit ( ATF 135 I 6 consid. 2.1 p. 9; 132 I 249 consid. 5 p. 253). L'excès de formalisme peut se trouver dans la règle de comportement qui est imposée au plaideur ou dans la sanction qui est attachée à cette règle ( ATF 132 I 249 , ibid.; 125 I 166 p. 170 consid. 3a; 121 I 177 p. 179 consid. 2b/aa).</w:t>
      </w:r>
    </w:p>
    <w:p>
      <w:r>
        <w:rPr>
          <w:b/>
        </w:rPr>
        <w:t>E. 2.3.3</w:t>
      </w:r>
    </w:p>
    <w:p>
      <w:r>
        <w:t>La prescription étant un moyen de fond, on ne voit pas que la cour cantonale a entravé l'application du droit fédéral en exigeant que cette exception de droit civil soit invoquée expressément dans la procédure principale. La recourante n'a jamais prétendu qu'elle aurait été empêchée d'exciper de l'exception de prescription dans les écritures qu'elle a déposées dans la procédure écrite au fond, soit dans sa réponse, sa duplique et sa duplique complémentaire après réforme. De même, elle n'a pas soutenu que la Cour d'appel l'aurait de quelque manière dissuadée de le faire. Il sied de rappeler à la recourante que l'interdiction du formalisme excessif ne saurait avoir pour effet d'enlever toute portée et signification à une exigence procédurale dont la légitimité est indiscutable (arrêt 4D_72/2014 du 12 mars 2015 consid. 4 in fine). La critique est infondée.</w:t>
      </w:r>
    </w:p>
    <w:p>
      <w:r>
        <w:rPr>
          <w:b/>
        </w:rPr>
        <w:t>E. 3.1</w:t>
      </w:r>
    </w:p>
    <w:p>
      <w:r>
        <w:t>De l'avis de la recourante, la Cour d'appel a apprécié arbitrairement les preuves en admettant que le contrat de travail du 26 janvier 1999 était un contrat simulé et qu'il existait pendant toute la période contractuelle un contrat dissimulé. En se fondant uniquement sur des témoignages pour retenir la simulation, la cour cantonale aurait ignoré des éléments importants. Ainsi, pendant toute la durée du contrat, aucun décompte devant servir de base pour calculer les commissions dues à l'intimé n'a été établi. Au cours de chacune des années 1999, 2000, 2001, la banque a accordé à ce dernier à bien plaire une gratification qu'il n'a pas remise en cause. Pour les années 2002 et 2003, le demandeur n'a pas demandé le versement d'une quelconque rétrocession alors qu'aucun bonus ne lui a été versé. Ni dans la poursuite qu'il a fait notifier à la banque le 18 janvier 2005 ni dans sa demande en paiement du 11 mai 2005 l'intimé ne fait état de l'existence d'un contrat dissimulé; il a attendu 2009 pour faire valoir les rétrocessions dues selon lui de 1999 à 2003.</w:t>
      </w:r>
    </w:p>
    <w:p>
      <w:r>
        <w:rPr>
          <w:b/>
        </w:rPr>
        <w:t>E. 3.2</w:t>
      </w:r>
    </w:p>
    <w:p>
      <w:r>
        <w:t>La cour cantonale a retenu qu'il est inconcevable d'admettre que le demandeur, lorsqu'il a conclu le contrat de travail du 26 janvier 1999, ait tiré un trait sur son passé d'apporteur d'affaires indépendant et qu'il ait accepté de continuer à accomplir les mêmes tâches avec une rémunération amputée d'une part considérable de sa substance. Appréciant les témoignages recueillis, elle a constaté que la commune et réelle intention des parties était de conférer au demandeur une rémunération de nature salariale équivalente au revenu qu'il avait réalisé en qualité d'apporteur d'affaires, la teneur littérale du contrat de travail n'étant pas déterminante conformément à l' art. 18 al. 1 CO .</w:t>
      </w:r>
    </w:p>
    <w:p>
      <w:r>
        <w:rPr>
          <w:b/>
        </w:rPr>
        <w:t>E. 3.3.1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 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3.3.2</w:t>
      </w:r>
    </w:p>
    <w:p>
      <w:r>
        <w:t>Le point de savoir si les parties avaient la volonté (réelle) de feindre une convention revient à constater leur volonté interne au moment de la conclusion du contrat, ce qui constitue une question de fait (arrêts 4A_429/2012 du 2 novembre 2012 consid. 4.2, in SJ 2013 I p. 286; 4A_362/2012 du 28 septembre 2012 consid. 4.2). On est en présence d'un acte simulé au sens de l' art. 18 CO lorsque les deux parties sont d'accord que les effets juridiques correspondant au sens objectif de leur déclaration ne doivent pas se produire et qu'elles n'ont voulu créer que l'apparence d'un acte juridique à l'égard des tiers ( ATF 123 IV 61 consid. 5c/cc p. 68; 112 II 337 consid. 4a p. 343; 97 II 201 consid. 5 p. 207 et les arrêts cités). La volonté de simuler un acte juridique est nécessairement liée à une intention de tromper (Täuschungsabsicht) (WIEGAND, in Basler Kommentar, Obligationenrecht I, 6e éd. 2015, n° 51 ad art. 18 CO ; KRAMER, Berner Kommentar, 1986, n° 110 ad art. 18 CO ). La volonté véritable des parties tendra soit à ne produire aucun effet juridique, soit à produire un autre effet que celui de l'acte apparent; dans ce dernier cas, les parties entendent en réalité conclure un second acte dissimulé ( ATF 123 IV 61 consid. 5c/cc p. 68; 112 II 337 consid. 4a p. 343). Juridiquement inefficace d'après la volonté réelle et commune des parties, le contrat simulé est nul ( ATF 123 IV 61 consid. 5c/cc p. 68; 97 II 201 consid. 5 p. 207 et les arrêts cités), tandis que le contrat dissimulé - que, le cas échéant, les parties ont réellement conclu - est valable si les dispositions légales auxquelles il est soumis quant à sa forme et à son contenu ont été observées ( ATF 117 II 382 consid. 2a p. 384 s.; 96 II 383 consid. 3a p. 390; arrêt 4A_362/2012 déjà cité, consid. 4.1 et les références). On distingue la simulation totale de la simulation partielle (Teilsimulation); la première porte sur le contrat entier, alors que, dans la seconde, les déclarations échangées sont en partie vraies, en partie simulées ( ATF 117 II 382 consid. 2a; arrêt 4C.56/1994 du 26 septembre 1994 consid. 3a et les références doctrinales). La simulation partielle peut porter sur toutes sortes d'éléments du contrat; par exemple, dans une vente immobilière, les déclarations sur l'objet à vendre correspondent à la volonté réelle des cocontractants, car ces derniers n'entendent simuler que le prix convenu dans l'acte, le prix véritable étant dissimulé (WINIGER, in Commentaire romand, Code des obligations I, 2e éd. 2012, n° 79 ad art. 18 CO ). 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p. 342; arrêts 4A_429/2012 déjà cité, ibidem; 4A_96/2008 du 26 mai 2008 consid. 2.3, in SJ 2008 I p. 448).</w:t>
      </w:r>
    </w:p>
    <w:p>
      <w:r>
        <w:rPr>
          <w:b/>
        </w:rPr>
        <w:t>E. 3.4</w:t>
      </w:r>
    </w:p>
    <w:p>
      <w:r>
        <w:t>Au chiffre 74 b de l'arrêt attaqué, l'autorité cantonale a fait état des dépositions recueillies par le Juge instructeur à propos de la rémunération que devait toucher l'intimé lorsqu'il était lié par contrat de travail à la banque. La recourante ne prétend pas que les résumés des déclarations de ces témoins auraient été retranscrits de manière insoutenable. Le témoin R.________, qui a travaillé pour la banque de 1992 à 2002, a affirmé que le salaire du demandeur avait été convenu d'entente avec le directeur général de la recourante G.________; selon le témoin, la commission que devait percevoir le demandeur portait en tout cas sur les droits de garde, les honoraires de gestion, le courtage et peut-être les devises. L.________, ancien employé de la banque devenu directeur de la succursale lausannoise de K.________, a déclaré que l'idée était de faire le contrat le plus proche du précédent (i. e. le contrat d'apporteur d'affaires) et que la base de calcul de la rémunération du demandeur devait rester semblable. S.________, qui a travaillé pour la banque jusqu'en 2002, a exposé qu'il avait été clairement convenu que le demandeur conserverait le même niveau de rémunération qu'auparavant et que la banque devait lui verser une commission sur tous les profits qu'elle réaliserait avec les clients qu'il apportait; ce témoin a ajouté que le contrat de travail avait été signé uniquement parce qu'il fallait satisfaire formellement aux exigences de la révision. L'ancien directeur général de la recourante G.________, avec lequel le demandeur a convenu de son salaire, a certifié que la rémunération de ce dernier ne devait pas être inférieure à celle qui aurait été la sienne selon son ancien statut d'apporteur d'affaires indépendant et qu'une assurance lui avait été donnée oralement à ce sujet; il a précisé que ce statut spécial était connu de l'ensemble du conseil d'administration, ainsi que de plusieurs cadres supérieurs, et qu'il en avait fait part à son successeur J.________. J.________, pour sa part, a déclaré qu'il avait averti le demandeur que le contrat de travail du 26 janvier 1999 devait être appliqué, que cet accord avait mis fin à toutes les conditions particulières dont ce dernier avait pu bénéficier antérieurement et qu'il devait changer certaines de ses habitudes. Il appert ainsi que trois témoins (L.________, S.________ et G.________) ont affirmé de concert que le demandeur devait conserver, en tant que partie contractante du contrat de travail conclu en 1999, la rémunération sous forme de commissions qu'il avait touchée auparavant comme apporteur d'affaires. Le témoin R.________ a détaillé les postes de la commission. Seul le témoin J.________ a exposé que le salaire prévu dans le contrat de travail devait s'appliquer. Dans ces conditions, il n'était pas arbitraire de retenir en fait, comme l'a fait la cour cantonale, que la rémunération figurant dans le contrat de travail ne correspondait pas à la volonté réelle des parties, lesquelles ont convenu en réalité que les commissions versées jusque-là au demandeur, qui dépassaient le salaire mentionné dans le contrat de travail, lui restaient dues. Il s'agit là de constatations de fait sur la volonté interne des parties, qui lient le Tribunal fédéral en instance de recours en matière civile (arrêt 4A_429/2012 du 2 novembre 2012 déjà cité, consid. 4.2). Les éléments que la recourante présente comme des indices divergents ne changent rien à ce constat. Si aucun décompte servant de base au calcul des commissions n'a été établi, cela relève du manque général d'organisation de la banque, qui a d'ailleurs été stigmatisé par l'organe de révision extraordinaire M.________ SA. Les bonus que le demandeur a encaissés entre 1999 et 2001 n'ont jamais été accordés pour solde de toute prétention envers la banque. Le fait que le demandeur n'a pas demandé de rétrocessions en 2002 et 2003 découle du refus définitif de lui en accorder que lui a opposé le directeur général J.________ dans le courant de 2001. La cause de l'obligation indiquée dans une poursuite ne lie pas le poursuivant qui exerce en justice une action en paiement de ladite créance. Enfin, l'énoncé des moyens de droit était facultative dans la demande en vertu de l' art. 262 al. 3 CPC /VD.</w:t>
      </w:r>
    </w:p>
    <w:p>
      <w:r>
        <w:rPr>
          <w:b/>
        </w:rPr>
        <w:t>E. 3.5</w:t>
      </w:r>
    </w:p>
    <w:p>
      <w:r>
        <w:t>L'intention de simuler un élément du contrat de travail, soit le montant du salaire du demandeur, ressort ainsi des constatations de l'arrêt déféré. Le but du contrat partiellement simulé peut résider en l'espèce dans la volonté de tromper le fisc et/ou les assurances sociales. Du moment qu'il est établi en fait que le salaire indiqué dans le contrat de travail écrit du 26 janvier 1999 ne correspondait pas à la volonté réelle des parties, que celles-ci étaient bien plutôt convenues de rémunérer le demandeur sous la forme de commissions correspondant à des rétrocessions de 331/3% sur les affaires amenées par celui-ci, que l'accord avait notamment pour but de tromper les autorités fiscales, la cour cantonale a pu admettre, sans violer le droit fédéral, que les parties avaient réciproquement et d'une manière concordante manifesté la volonté de dissimuler leur accord véritable derrière un acte apparent destiné à induire en erreur (cf. art. 1 et 18 al. 1 CO ). Les faits constatés permettent sans conteste d'admettre une simulation. Celle-ci était partielle, en ce sens que le mensonge ne portait que sur le montant du salaire, et non sur l'existence du contrat de travail lui-même.</w:t>
      </w:r>
    </w:p>
    <w:p>
      <w:r>
        <w:rPr>
          <w:b/>
        </w:rPr>
        <w:t>E. 4.1</w:t>
      </w:r>
    </w:p>
    <w:p>
      <w:r>
        <w:t>La recourante revient à la charge en prétendant longuement qu'il était arbitraire de retenir que le niveau de rémunération fixé dans le contrat de travail représentait une diminution considérable de sa rémunération antérieure d'apporteur d'affaires.</w:t>
      </w:r>
    </w:p>
    <w:p>
      <w:r>
        <w:rPr>
          <w:b/>
        </w:rPr>
        <w:t>E. 4.2</w:t>
      </w:r>
    </w:p>
    <w:p>
      <w:r>
        <w:t>Le moyen, de caractère appellatoire, est exempt de toute démonstration un tant soi peu compréhensible d'arbitraire, d'où son irrecevabilité ( art. 106 al. 2 LTF ). De toute manière, l'expert P.________ a constaté qu'entre le 1er mars 1999 et le 31 octobre 2002 le demandeur pouvait prétendre à un total de 4'661'500 fr. à titre de commissions en application des principes de rémunération prévus par le contrat du 29 septembre 1995 (827'000 fr. en 1999, 1'780'000 fr. en 2000, 1'119'500 fr. en 2001 et 935'000 fr. en 2002), alors que la défenderesse lui a versé 1'204'453 fr. au cours de cette période (192'508 fr. en 1999, 251'000 fr. en 2000, 392'225 fr. en 2001, 368'720 fr. en 2002). La différence de rémunération de 3'457'047 fr. retire tout arbitraire à la constatation incriminée.</w:t>
      </w:r>
    </w:p>
    <w:p>
      <w:r>
        <w:rPr>
          <w:b/>
        </w:rPr>
        <w:t>E. 5</w:t>
      </w:r>
    </w:p>
    <w:p>
      <w:r>
        <w:t>Pour la recourante, la rémunération instituée par le contrat d'apporteur d'affaires n'a pas été appliquée par les parties. Cette critique, qui ne prend assise sur aucun élément du dossier, est derechef irrecevable.</w:t>
      </w:r>
    </w:p>
    <w:p>
      <w:r>
        <w:rPr>
          <w:b/>
        </w:rPr>
        <w:t>E. 6.1</w:t>
      </w:r>
    </w:p>
    <w:p>
      <w:r>
        <w:t>La recourante se réfère à la jurisprudence relative à la réduction du salaire pour le futur par consentement tacite des parties. Elle affirme que ces dernières auraient renoncé à appliquer le contrat dissimulé. Elle fait valoir que, pendant toute la durée du contrat de travail, aucun décompte calculant le droit aux commissions n'a été établi et qu'à la fin de trois exercices annuels sur quatre, le demandeur n'a pas réclamé de rétrocessions. Elle allègue qu'elle pouvait déduire de bonne foi de ce comportement qu'il y avait lieu d'appliquer le contrat du 26 janvier 1999 et que le salarié avait accepté de ne pas percevoir les commissions calculées selon les principes découlant du contrat d'apporteur d'affaires.</w:t>
      </w:r>
    </w:p>
    <w:p>
      <w:r>
        <w:rPr>
          <w:b/>
        </w:rPr>
        <w:t>E. 6.2</w:t>
      </w:r>
    </w:p>
    <w:p>
      <w:r>
        <w:t>D'après l' art. 322 al. 1 CO , l'employeur paie au travailleur le salaire convenu, usuel ou fixé par un contrat-type de travail ou par une convention collective. Cette disposition étant de droit dispositif (non soumise à l' art. 341 CO ; ATF 124 II 436 consid. 10e/aa p. 451), les parties peuvent conventionnellement diminuer le salaire en cours de contrat (arrêts 4C.242/2005 du 9 novembre 2005 consid. 4.1; 4C.426/2005 du 28 février 2006 consid. 5.2.1).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 ATF 109 II 327 consid. 2b p. 330; arrêts 4A_404/2014 du 17 décembre 2014 consid. 5.1; 4A_216/2013 du 29 juillet 2013 consid. 6.3).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Si, conformément à ce qu'il a annoncé au travailleur (c'est le Tribunal fédéral qui souligne), l'employeur paie un salaire réduit, il est en règle générale reconnaissable pour le travailleur que l'employeur part d'une acceptation tacite de la réduction (arrêts 4A_404/2014 du 17 décembre 2014 consid. 5.1; 4A_223/2010 du 12 juillet 2010 consid. 2.1.2; 4C.242/2005 du 9 novembre 2005 consid. 4.3).</w:t>
      </w:r>
    </w:p>
    <w:p>
      <w:r>
        <w:rPr>
          <w:b/>
        </w:rPr>
        <w:t>E. 6.3</w:t>
      </w:r>
    </w:p>
    <w:p>
      <w:r>
        <w:t>Ces principes jurisprudentiels ne sauraient s'appliquer à la présente cause. En effet, le mécanisme de l'accord sur une réduction tacite du salaire suppose que l'employeur annonce préalablement au travailleur qu'il entend dorénavant modifier le contrat dans un sens qui lui est défavorable. Or, il ne résulte pas de l'état de fait déterminant que la recourante ait averti l'intimé en cours de contrat qu'elle entendait réduire la rémunération par commissions instituée par le contrat dissimulé convenu le 26 janvier 1999. Le moyen manque sa cible.</w:t>
      </w:r>
    </w:p>
    <w:p>
      <w:r>
        <w:rPr>
          <w:b/>
        </w:rPr>
        <w:t>E. 7</w:t>
      </w:r>
    </w:p>
    <w:p>
      <w:r>
        <w:t>En quelques lignes, la recourante prétend que la cour cantonale aurait commis un abus de droit en lui imposant un contrat simulé ( recte dissimulé) frauduleux. La rémunération accordée à l'intimé serait l'oeuvre d'un complot de ce dernier et de l'ancienne direction de la banque pour dissimuler la réalité à la banque E.________. Le grief, qui repose sur de pures conjectures que rien n'étaye, est irrecevable (art. 42 al. 2 et 106 al. 2 LTF). Au demeurant, l'ancien directeur général de la recourante G.________ a déclaré que le statut spécial de l'intimé était connu de l'ensemble du conseil d'administration de la banque. La recourante n'a pas taxé cette constatation d'insoutenable.</w:t>
      </w:r>
    </w:p>
    <w:p>
      <w:r>
        <w:rPr>
          <w:b/>
        </w:rPr>
        <w:t>E. 8.1</w:t>
      </w:r>
    </w:p>
    <w:p>
      <w:r>
        <w:t>La recourante ne conteste plus que le second congé pour justes motifs donné au travailleur le 17 avril 2003 était injustifié, de sorte que ce dernier a droit à ce qu'il aurait gagné si les rapports de travail avaient pris fin à l'échéance normale du contrat ( art. 337c al. 1 CO ), ainsi qu'à une indemnité au sens de l' art. 337c al. 3 CO correspondant à deux mois de salaire. Mais elle s'en prend au calcul de la cour cantonale, laquelle, suivant les chiffres de l'expert P.________, a arrêté à la somme totale de 4'137'454 fr.25 en capital, sous déduction des cotisations légales, le salaire dû à l'intimé en application de l' art. 337c al. 1 CO . Elle soutient qu'il aurait fallu tenir compte des avantages sociaux qui lui ont été procurés en plus de son salaire, soit ses vacances payées et les contributions de la banque à l'AVS, au deuxième pilier et à l'assurance-chômage.</w:t>
      </w:r>
    </w:p>
    <w:p>
      <w:r>
        <w:rPr>
          <w:b/>
        </w:rPr>
        <w:t>E. 8.2</w:t>
      </w:r>
    </w:p>
    <w:p>
      <w:r>
        <w:t>L'expert P.________ a arrêté au montant de 3'457'047 fr. le solde dû au demandeur à titre de salaire pour la période du 1er mars 1999 au 31 octobre 2002. Comme les rapports de travail devaient normalement prendre fin le 31 mai 2003 en vertu de la résiliation du 25 novembre 2002, la cour cantonale a alloué à l'intimé le montant supplémentaire de 680'407 fr.25 pour la période s'étendant entre le 1er novembre 2002 et le 31 mai 2003 en se basant sur les chiffres de l'expert, qu'elle a extrapolés.</w:t>
      </w:r>
    </w:p>
    <w:p>
      <w:r>
        <w:rPr>
          <w:b/>
        </w:rPr>
        <w:t>E. 8.3</w:t>
      </w:r>
    </w:p>
    <w:p>
      <w:r>
        <w:t>La recourante, qui n'invoque même pas l'arbitraire, ne démontre pas qu'il était insoutenable de se fier à cet égard aux calculs de l'expert P.________. Elle ne fait état d'aucun défaut manifeste qui entacherait ce rapport d'expertise et que les juges cantonaux n'auraient pu ignorer (cf. sur le caractère complet que doit revêtir un rapport d'expertise, BOVEY, Le juge face à l'expert, in La preuve en droit de la responsabilité civile, Genève 2011, p. 110-111). Le moyen est irrecevable.</w:t>
      </w:r>
    </w:p>
    <w:p>
      <w:r>
        <w:rPr>
          <w:b/>
        </w:rPr>
        <w:t>E. 9.1</w:t>
      </w:r>
    </w:p>
    <w:p>
      <w:r>
        <w:t>Sans invoquer la transgression d'une norme légale ou d'un quelconque principe juridique, la recourante reproche aux magistrats vaudois d'avoir accordé au demandeur des indemnités au sens de l' art. 41 CO pour réparer sa perte de gain actuelle (entre le 1er mars 2004 et le 6 novembre 2013) et sa perte de gain future (depuis le 6 novembre 2013 jusqu'à ses 65 ans). Elle prétend ainsi qu'ils auraient négligé de prendre en compte certains faits capitaux en retenant qu'elle a indûment dénoncé le demandeur à la Commission fédérale des banque puis à la justice pénale et qu'elle l'a dénigré auprès de K.________ et de sa clientèle. Elle fait grief dans ce cadre à la Cour d'appel d'avoir passé sous silence les graves manquements dont se serait rendu coupable l'intimé à son service en tant que directeur adjoint. A l'en croire, même si le demandeur a été libéré des fins de la procédure pénale " pour des considérations tenant à la spécificité du droit pénal ", il n'aurait pas été exempt de tout reproche dans son activité bancaire, notamment en relation avec la gestion du compte dénommé Y.________ . La recourante ajoute qu'elle n'est en rien responsable du licenciement du demandeur par K.________, lequel serait lié à ses agissements fautifs mis en lumière par M.________ SA. Elle conteste enfin que le demandeur aurait été dans l'incapacité de retrouver du travail après avoir été licencié par K.________ et soutient qu'il aurait été à même de travailler comme tiers gérant ou de prendre une activité non soumise à la Commission fédérale des banques.</w:t>
      </w:r>
    </w:p>
    <w:p>
      <w:r>
        <w:rPr>
          <w:b/>
        </w:rPr>
        <w:t>E. 9.2</w:t>
      </w:r>
    </w:p>
    <w:p>
      <w:r>
        <w:t>La cour cantonale a soigneusement décrit, au considérant 7a de l'arrêt entrepris, les principes de la responsabilité délictuelle fondée sur l' art. 41 CO , ainsi que le fait qu'à côté des actions spécifiques en protection de la personnalité prévues par l' art. 28a al. 1 CC , l' art. 28a al. 3 CC réserve en particulier l'action en dommages-intérêts et en réparation du tort moral des art. 41 CO et 49 CO. Elle a relevé qu'une atteinte à l'honneur (interne et externe) est par principe illicite en raison du caractère absolu des droits de la personnalité, sauf si l'auteur peut invoquer un motif justificatif, tel le consentement de la victime, ou un intérêt prépondérant privé ou public. Elle a encore rappelé que le demandeur a la charge d'établir l'atteinte illicite, l'existence et l'ampleur du dommage, un rapport de causalité naturelle et adéquate entre l'atteinte et le préjudice ainsi que l'existence d'une faute de l'auteur. Passant à la subsomption, l'autorité cantonale a retenu, au considérant 7 b de l'arrêt attaqué, que la banque savait de longue date que le demandeur était l'ayant droit économique singulièrement du compte Y.________ à propos duquel elle a sollicité des informations lors de l'entrevue du 25 novembre 2002. Il ressort en outre de l'arrêt du Tribunal d'accusation du 9 décembre 2004 que, contrairement à ce qu'elle avait indiqué dans sa plainte pénale, la recourante connaissait cette situation depuis plusieurs années, de même que les lacunes administratives et les déficiences organisationnelles dont le demandeur n'était pas responsable. La recourante a de la sorte gravement porté atteinte à la réputation de ce dernier, notamment en faisant état auprès de son nouvel employeur (i. e. K.________) de suspicion d'actes délictueux. Elle a donc fait subir au demandeur fautivement une grave atteinte à sa personnalité, qu'aucun intérêt public prépondérant ne pouvait justifier. L'atteinte, illicite et fautive, à la personnalité du demandeur est la cause naturelle et adéquate du dommage qu'il a subi, lequel s'est concrétisé par son incapacité à retrouver un emploi salarié, le comportement de la défenderesse ayant ruiné la réputation professionnelle du premier auprès du milieu bancaire et de son ancienne clientèle. La cour cantonale en a conclu que la banque a engagé sa responsabilité délictuelle envers le demandeur.</w:t>
      </w:r>
    </w:p>
    <w:p>
      <w:r>
        <w:rPr>
          <w:b/>
        </w:rPr>
        <w:t>E. 9.3</w:t>
      </w:r>
    </w:p>
    <w:p>
      <w:r>
        <w:t>La recourante ne prend nullement appui sur ce raisonnement pour développer son moyen. Elle se borne à présenter, de manière irrecevable, sa propre vision des choses et sa propre appréciation des preuves, comme si le Tribunal fédéral était une cour d'appel revoyant librement les faits et le droit. Dans ces conditions, il sied de faire justice de ce moyen en renvoyant au considérant susrappelé de l'arrêt cantonal, en application de l' art. 109 al. 3 LTF .</w:t>
      </w:r>
    </w:p>
    <w:p>
      <w:r>
        <w:rPr>
          <w:b/>
        </w:rPr>
        <w:t>E. 10.1</w:t>
      </w:r>
    </w:p>
    <w:p>
      <w:r>
        <w:t>La recourante affirme que c'est à tort que la cour cantonale a accordé au demandeur les montants de 1'273'677 fr.80 pour indemniser la perte de gain subie entre le 1er mars 2004 et le 6 novembre 2013, et de 360'784 fr.30 pour réparer la perte de gain future. Elle insiste à nouveau sur l'obligation qu'avait l'intimé de réduire son dommage.</w:t>
      </w:r>
    </w:p>
    <w:p>
      <w:r>
        <w:rPr>
          <w:b/>
        </w:rPr>
        <w:t>E. 10.2</w:t>
      </w:r>
    </w:p>
    <w:p>
      <w:r>
        <w:t>L'expert P.________ a relevé que le salaire annuel net perçu par le demandeur auprès de K.________ s'était élevé à 218'194 fr.28. L'expert a estimé que, comme apporteur d'affaires indépendant, l'intimé était en mesure, après avoir été congédié par K.________, de retirer un revenu annuel net de 87'000 fr. A partir de ces données, la cour cantonale a arrêté la perte annuelle nette de l'intéressé à 131'194 fr.28 (218'194 fr.28 - 87'000 fr.). Sur cette base, la cour cantonale a déterminé la perte de gain subie par le demandeur jusqu'au jour du jugement de première instance, ainsi que sa perte de gain future.</w:t>
      </w:r>
    </w:p>
    <w:p>
      <w:r>
        <w:rPr>
          <w:b/>
        </w:rPr>
        <w:t>E. 10.3</w:t>
      </w:r>
    </w:p>
    <w:p>
      <w:r>
        <w:t>La recourante ne prétend pas que le rapport de l'expert judiciaire P.________ ne serait pas complet, qu'il ne serait pas clair ou qu'il serait contradictoire. Autrement dit, elle ne critique aucunement les bases du raisonnement de cet expert, qui, ainsi qu'on l'a vu, a bel et bien reconnu que le demandeur disposait toujours d'une capacité de gain à la suite de son licenciement par son dernier employeur. Le moyen, appellatoire, est à nouveau irrecevable.</w:t>
      </w:r>
    </w:p>
    <w:p>
      <w:r>
        <w:rPr>
          <w:b/>
        </w:rPr>
        <w:t>E. 11.1</w:t>
      </w:r>
    </w:p>
    <w:p>
      <w:r>
        <w:t>La recourante, qui se prévaut d'une violation de l' art. 49 CO , soutient enfin qu'il n'y a pas lieu d'accorder la moindre indemnité pour tort moral à l'intimé, car ce dernier est seul responsable de sa déchéance.</w:t>
      </w:r>
    </w:p>
    <w:p>
      <w:r>
        <w:rPr>
          <w:b/>
        </w:rPr>
        <w:t>E. 11.2</w:t>
      </w:r>
    </w:p>
    <w:p>
      <w:r>
        <w:t>La cour cantonale a retenu, au considérant 9 de l'arrêt critiqué, que l'admission du principe d'une réparation morale se justifie au regard de l'atteinte particulièrement grave, d'un point de vue objectif, dont a été victime le demandeur, et de la souffrance morale avérée d'un homme qui a passé brutalement d'un statut social de très haut niveau à la ruine de sa réputation professionnelle ayant provoqué une incapacité durable de retrouver un emploi dans le milieu bancaire.</w:t>
      </w:r>
    </w:p>
    <w:p>
      <w:r>
        <w:rPr>
          <w:b/>
        </w:rPr>
        <w:t>E. 11.3</w:t>
      </w:r>
    </w:p>
    <w:p>
      <w:r>
        <w:t>L' 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 ATF 137 III 303 consid. 2.2.2 p. 309; 130 III 699 consid. 5.1 p. 704; arrêt 4A_117/2013 du 31 juillet 2013 consid. 2.2).</w:t>
      </w:r>
    </w:p>
    <w:p>
      <w:r>
        <w:rPr>
          <w:b/>
        </w:rPr>
        <w:t>E. 11.4</w:t>
      </w:r>
    </w:p>
    <w:p>
      <w:r>
        <w:t>En l'espèce, l'intimé, après avoir été congédié par K.________ pour le 29 février 2004, alors qu'il était âgé de 52 ans, n'a pas retrouvé d'emploi de cadre dirigeant. S'il a exercé une activité indépendante par la suite, il a perdu l'essentiel de ses clients, la banque l'ayant dénigré envers ceux-ci. Il est incontestable que le demandeur a été gravement affecté par cette situation, qui lui a fait perdre son statut social. Le principe de l'octroi d'une indemnité satisfactoire se justifie pleinement. Quant à la fixation du montant de l'indemnité pour tort moral, laquelle est essentiellement une question d'appréciation relevant du juge du fait, elle ne fait l'objet d'aucune critique. La somme de 10'000 fr. retenue par la cour cantonale sera donc confirmée.</w:t>
      </w:r>
    </w:p>
    <w:p>
      <w:r>
        <w:rPr>
          <w:b/>
        </w:rPr>
        <w:t>E. 12</w:t>
      </w:r>
    </w:p>
    <w:p>
      <w:r>
        <w:t>En définitive, le recours doit être rejeté en tant qu'il est recevable. La recourante, qui succombe, paiera l'émolument judiciaire et versera une indemnité à titre de dépens à l'intimé (art. 66 al. 1 et 68 al. 1 et 2 LTF). La présente décision sur le fond prive d'objet la requête d'effet suspensif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