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4A_8/2025 vom 8. Juli 2025</w:t>
      </w:r>
    </w:p>
    <w:p>
      <w:r>
        <w:t>Bundesgericht, 2025-07-08, FR</w:t>
      </w:r>
    </w:p>
    <w:p>
      <w:r>
        <w:rPr>
          <w:b/>
        </w:rPr>
        <w:t xml:space="preserve">Quelle: </w:t>
      </w:r>
      <w:r>
        <w:t>https://mcp.opencaselaw.ch/entscheid/bger_4A_8_2025</w:t>
      </w:r>
    </w:p>
    <w:p>
      <w:r>
        <w:t>FR: TF 4A_8/2025 du 8 juillet 2025</w:t>
      </w:r>
    </w:p>
    <w:p>
      <w:r>
        <w:t>IT: TF 4A_8/2025 del 8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sentence issue d'un arbitrage interne peut être déferrée au Tribunal fédéral par un recours en matière civile, aux motifs énoncés exhaustivement à l' art. 393 CPC (renvoi de l' art. 77 al. 1 let. b LTF ; arrêts 4A_16/2023 du 8 novembre 2023 consid. 2; 4A_322/2016 du 28 juillet 2016 consid. 1; 4A_454/2011 du 27 octobre 2011 consid. 2.2).</w:t>
      </w:r>
    </w:p>
    <w:p>
      <w:r>
        <w:t>Seuls les griefs invoqués et motivés par le recourant seront examinés ( art. 77 al. 3 LTF ). Cette exigence, qui est le pendant du principe d'allégation pour les droits fondamentaux (cf. art. 106 al. 2 LTF ), implique que le justiciable indique le (s) grief (s) dont il se prévaut et développe une argumentation précise démontrant en quoi la violation dénoncée serait réalisée ( ATF 134 III 186 consid. 5; GRÉGORY BOVEY,</w:t>
      </w:r>
    </w:p>
    <w:p>
      <w:r>
        <w:t>in Commentaire de la LTF, 3e éd. 2022, n os 222 et 224 ad art. 77 LTF ; arrêt précité 4A_16/2023</w:t>
      </w:r>
    </w:p>
    <w:p>
      <w:r>
        <w:t>ibidem ).</w:t>
      </w:r>
    </w:p>
    <w:p>
      <w:r>
        <w:rPr>
          <w:b/>
        </w:rPr>
        <w:t>E. 2</w:t>
      </w:r>
    </w:p>
    <w:p>
      <w:r>
        <w:t>En l'espèce, la sentence attaquée est le fruit d'un arbitrage interne: le siège du tribunal arbitral se trouve à Lausanne (VD). Aucun élément d'extranéité ne peut être discerné: les parties étaient domiciliées en Suisse lorsqu'elles ont conclu la clause d'arbitrage (let. A</w:t>
      </w:r>
    </w:p>
    <w:p>
      <w:r>
        <w:t>supra ; art. 353 al. 1 CPC en lien avec l' art. 176 al. 1 LDIP</w:t>
      </w:r>
    </w:p>
    <w:p>
      <w:r>
        <w:t>a contrario [RS 291]; ATF 144 III 235 consid. 2.1).</w:t>
      </w:r>
    </w:p>
    <w:p>
      <w:r>
        <w:t>Aussi la cause peut-elle être soumise au Tribunal fédéral par un recours en matière civile indépendant de la valeur litigieuse ( art. 77 al. 1 let. b LTF ). La procédure est régie par la LTF, sous réserve des règles écartées par l' art. 77 al. 2 LTF et des dispositions contraires du chapitre topique du CPC ( art. 389 al. 2 CPC ; arrêt précité 4A_16/2023 consid. 1).</w:t>
      </w:r>
    </w:p>
    <w:p>
      <w:r>
        <w:rPr>
          <w:b/>
        </w:rPr>
        <w:t>E. 3</w:t>
      </w:r>
    </w:p>
    <w:p>
      <w:r>
        <w:t>Bien qu'il soit dirigé contre une sentence finale ( art. 392 let. a CPC ) et qu'il soit déposé en temps utile ( art. 100 al. 1 LTF en lien avec l' art. 46 al. 1 let . c LTF) par la partie ayant succombé dans ses conclusions ( art. 76 al. 1 LTF ), le présent recours n'énonce pas des motifs dûment expliqués répondant aux exigences sommairement rappelées ci-dessus (consid. 1</w:t>
      </w:r>
    </w:p>
    <w:p>
      <w:r>
        <w:t>supra ).</w:t>
      </w:r>
    </w:p>
    <w:p>
      <w:r>
        <w:t>Ou, en d'autres termes, c'est en vain qu'on cherchera une motivation suffisante. Et l'écriture au demeurant tardive du 8 janvier 2025 - quelle que soit la compassion que peuvent susciter les raisons invoquées par le mandataire du recourant - ne saurait remédier à un tel vice (cf. let. C</w:t>
      </w:r>
    </w:p>
    <w:p>
      <w:r>
        <w:t>supra ).</w:t>
      </w:r>
    </w:p>
    <w:p>
      <w:r>
        <w:t>Il peut être renvoyé au surplus à la réponse, explicite sur la question de la recevabilité notamment, respectivement quant aux exigences de motivation attendues du recourant, et qui ne sont pas respectées en l'espèce. C'est à juste titre que l'intimée reproche au recourant de se livrer à une critique "purement appellatoire" des faits retenus par l'Arbitre unique, sans motiver à satisfaction ni démontrer précisément quels défauts affecteraient arbitrairement le résultat de la sentence entreprise ( art. 393 let . e CPC; cf. par ex. arrêts 4A_605/2024 du 22 avril 2025 consid. 3.2; 4A_424/2011 du 2 novembre 2011 consid. 2.1) : privilégier un intérêt économique au détriment d'un autre n'est au demeurant pas encore la marque d'un arbitraire, n'en déplaise au recourant.</w:t>
      </w:r>
    </w:p>
    <w:p>
      <w:r>
        <w:t>Il est aussi rappelé que l'appréciation des preuves est libre; et ce ne sont pas les griefs appellatoires du recourant, cherchant notamment à imposer le témoignage de D.________ - "seul témoin objectif", insiste-t-il à réitérées reprises) -, qui parviendront à changer la donne, quand bien même la solution retenue déplaît perceptiblement à l'intéressé.</w:t>
      </w:r>
    </w:p>
    <w:p>
      <w:r>
        <w:t>Pareille réflexion peut être faite à propos de la violation du droit d'être entendu que dénonce aussi le recourant ( art. 393 let . d CPC; cf. par ex. arrêts précités 4A_605/2024 consid. 3.1 et les références citées; 4A_322/2016 consid. 3.1).</w:t>
      </w:r>
    </w:p>
    <w:p>
      <w:r>
        <w:t>Et c'est tout aussi à bon escient que l'intimée rappelle que la violation du droit doit être "manifeste" ( art. 393 let . e CPC; voir par ex. arrêt 4A_289/2024 du 16 juillet 2024 consid. 3.1), hypothèse non réalisée en l'occurrence, et que le recourant ne parvient d'ailleurs pas à démontrer. En particulier, il échoue à prouver que l'interprétation objective ( art. 18 CO ; voir par ex.,</w:t>
      </w:r>
    </w:p>
    <w:p>
      <w:r>
        <w:t>mutatis mutandis , ATF 144 III 93 consid. 5.2) à laquelle l'Arbitre s'est adonné serait manifestement erronée.</w:t>
      </w:r>
    </w:p>
    <w:p>
      <w:r>
        <w:rPr>
          <w:b/>
        </w:rPr>
        <w:t>E. 4</w:t>
      </w:r>
    </w:p>
    <w:p>
      <w:r>
        <w:t>En conclusion, le présent recours se révèle irrecevable, faute de motivation répondant aux exigences légales: là où on serait en droit d'attendre une argumentation circonstanciée des motifs de recours conformément au principe d'allégation ( art. 77 al. 3 LTF ; consid. 1</w:t>
      </w:r>
    </w:p>
    <w:p>
      <w:r>
        <w:t>supra ), le recourant ne fait que présenter des critiques appellatoires sans chercher à satisfaire à l'exigence de motivation pourtant posée par la loi.</w:t>
      </w:r>
    </w:p>
    <w:p>
      <w:r>
        <w:t>Or, il ne suffit point d'invoquer l'un ou l'autre motif énoncé par l' art. 393 CPC , de dénoncer des "[c]ontradictions manifestes" contraires à l' art. 9 Cst. , de faire montre d'une certaine virulence, de renvoyer à des témoins dont la version "arrange" le recourant ou de citer de la jurisprudence plus ou moins topique: le justiciable devrait en sus dûment expliquer ce qui fonde son recours. Et la cour de céans ne peut que constater l'absence d'un tel</w:t>
      </w:r>
    </w:p>
    <w:p>
      <w:r>
        <w:t>requisit en l'espèce: il n'est d'aucun secours à l'intéressé de reprocher à l'Arbitre d'avoir "faussement" constaté les faits, d'avoir sombré dans l'arbitraire ou dans l'erreur, d'avoir retenu des "contrevérités", ou d'avoir soutenu une thèse "nouvelle" et "incongrue": encore les explications y relatives devraient-elles être conformes aux exigences de motivation brièvement rappelées, ce qui fait défaut en l'occurrence, comme le souligne l'intimée.</w:t>
      </w:r>
    </w:p>
    <w:p>
      <w:r>
        <w:t>Aussi le recourant supportera-t-il les frais de la présente procédure ( art. 65 et art. 66 al. 1 LTF ). Il versera aussi une indemnité de dépens à l'intimée, qui s'est déterminée en déposant une réponse ( art. 68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