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8/2023 vom 11. April 2023</w:t>
      </w:r>
    </w:p>
    <w:p>
      <w:r>
        <w:t>Bundesgericht, 2023-04-11, FR</w:t>
      </w:r>
    </w:p>
    <w:p>
      <w:r>
        <w:rPr>
          <w:b/>
        </w:rPr>
        <w:t xml:space="preserve">Quelle: </w:t>
      </w:r>
      <w:r>
        <w:t>https://mcp.opencaselaw.ch/entscheid/bger_4A_8_2023</w:t>
      </w:r>
    </w:p>
    <w:p>
      <w:r>
        <w:t>FR: TF 4A 8/2023 du 11 avril 2023</w:t>
      </w:r>
    </w:p>
    <w:p>
      <w:r>
        <w:t>IT: TF 4A 8/2023 del 11 aprile 2023</w:t>
      </w:r>
    </w:p>
    <w:p>
      <w:pPr>
        <w:pStyle w:val="Heading2"/>
      </w:pPr>
      <w:r>
        <w:t>Regeste</w:t>
      </w:r>
    </w:p>
    <w:p>
      <w:r>
        <w:t>concurence déloyale; droit des marques; refus de suspendre la procédure, | Propriété intellectuelle, concurrence et cartels</w:t>
      </w:r>
    </w:p>
    <w:p>
      <w:pPr>
        <w:pStyle w:val="Heading2"/>
      </w:pPr>
      <w:r>
        <w:t>Erwägungen</w:t>
      </w:r>
    </w:p>
    <w:p>
      <w:r>
        <w:rPr>
          <w:b/>
        </w:rPr>
        <w:t>E. 1</w:t>
      </w:r>
    </w:p>
    <w:p>
      <w:r>
        <w:t>Le Tribunal fédéral examine d'office et librement la recevabilité des recours qui lui sont soumis ( ATF 141 III 395 consid. 2.1).</w:t>
      </w:r>
    </w:p>
    <w:p>
      <w:r>
        <w:rPr>
          <w:b/>
        </w:rPr>
        <w:t>E. 1.1</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w:t>
      </w:r>
    </w:p>
    <w:p>
      <w:r>
        <w:rPr>
          <w:b/>
        </w:rPr>
        <w:t>E. 1.2</w:t>
      </w:r>
    </w:p>
    <w:p>
      <w:r>
        <w:t>Le jugement incident querellé au terme duquel l'autorité précédente a refusé de suspendre la procédure introduite devant elle est incident aux termes de l' art. 93 al. 1 LTF . L'hypothèse visée par l' art. 93 al. 1 let. b LTF n'entre pas en ligne de compte, dès lors que le Tribunal fédéral, s'il venait à admettre le présent recours, ne serait pas en mesure de rendre une décision finale. Le recours en matière civile n'est dès lors recevable que si la décision incidente peut causer un préjudice irréparable aux termes de l' art. 93 al. 1 let. a LTF .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 ATF 137 III 324 consid. 1.1).</w:t>
      </w:r>
    </w:p>
    <w:p>
      <w:r>
        <w:rPr>
          <w:b/>
        </w:rPr>
        <w:t>E. 1.3</w:t>
      </w:r>
    </w:p>
    <w:p>
      <w:r>
        <w:t>A la lecture des écritures déposées par les recourantes, force est d'observer que leurs explications pour tenter d'établir l'existence d'un préjudice irréparable au sens de l' art. 93 al. 1 let. a LTF n'apparaissent nullement convaincantes et sont du reste soigneusement contredites par l'intimée. Il suit de là que le recours doit être déclaré irrecevable selon la procédure simplifiée prévue par l' art. 109 al. 2 let. a LTF , ce qui rend la demande d'effet suspensif sans objet.</w:t>
      </w:r>
    </w:p>
    <w:p>
      <w:r>
        <w:rPr>
          <w:b/>
        </w:rPr>
        <w:t>E. 2</w:t>
      </w:r>
    </w:p>
    <w:p>
      <w:r>
        <w:t>Les recourantes, qui succombent, seront condamnées solidairement à payer les frais de la procédure fédérale ( art. 66 al. 1 et 5 LTF ) et à verser à l'intimée une indemnité à titre de dépens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