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89/2019 vom 12. August 2019</w:t>
      </w:r>
    </w:p>
    <w:p>
      <w:r>
        <w:t>Bundesgericht, 2019-08-12, FR</w:t>
      </w:r>
    </w:p>
    <w:p>
      <w:r>
        <w:rPr>
          <w:b/>
        </w:rPr>
        <w:t xml:space="preserve">Quelle: </w:t>
      </w:r>
      <w:r>
        <w:t>https://mcp.opencaselaw.ch/entscheid/bger_4A_89_2019</w:t>
      </w:r>
    </w:p>
    <w:p>
      <w:r>
        <w:t>FR: TF 4A 89/2019 du 12 août 2019</w:t>
      </w:r>
    </w:p>
    <w:p>
      <w:r>
        <w:t>IT: TF 4A 89/2019 del 12 agosto 2019</w:t>
      </w:r>
    </w:p>
    <w:p>
      <w:pPr>
        <w:pStyle w:val="Heading2"/>
      </w:pPr>
      <w:r>
        <w:t>Regeste</w:t>
      </w:r>
    </w:p>
    <w:p>
      <w:r>
        <w:t>contrat de travail; incapacité de travail | Droit des contrats</w:t>
      </w:r>
    </w:p>
    <w:p>
      <w:pPr>
        <w:pStyle w:val="Heading2"/>
      </w:pPr>
      <w:r>
        <w:t>Erwägungen</w:t>
      </w:r>
    </w:p>
    <w:p>
      <w:r>
        <w:rPr>
          <w:b/>
        </w:rPr>
        <w:t>E. 1</w:t>
      </w:r>
    </w:p>
    <w:p>
      <w:r>
        <w:t>Parce que la motivation du recours supplée la déficience des conclusions, le recours peut être jugé recevable au regard de l' art. 42 al. 1 LTF ; l'opinion contraire du demandeur n'est pas fondée. Les autres conditions de recevabilité du recours en matière civile sont elles aussi satisfaites; en particulier, la valeur litigieuse minimale est atteinte.</w:t>
      </w:r>
    </w:p>
    <w:p>
      <w:r>
        <w:rPr>
          <w:b/>
        </w:rPr>
        <w:t>E. 2</w:t>
      </w:r>
    </w:p>
    <w:p>
      <w:r>
        <w:t>La Cour de justice retient que le demandeur a collaboré dans l'exploitation du défendeur en exécution d'un contrat de travail et que dès le 12 octobre 2015, en conséquence d'une maladie, il a été entièrement empêché de fournir l'activité convenue. La Cour lui alloue des dommages-intérêts correspondant aux indemnités journalières d'assurance qu'il aurait perçues en conséquence de son incapacité de travail si le défendeur avait souscrit la couverture d'assurance exigée par le contrat-type de travail. A titre principal, le défendeur conteste que le demandeur ait réellement subi une incapacité de travail, même partielle, consécutive à une maladie. A titre subsidiaire, en tant qu'une incapacité de travail partielle peut être constatée, il fait grief au demandeur de n'avoir pas mis à disposition sa capacité résiduelle de travail et d'avoir par là manqué à son devoir de réduire le dommage. Pour le surplus, le défendeur ne conteste ni le principe d'un dédommagement, ni le calcul du dommage.</w:t>
      </w:r>
    </w:p>
    <w:p>
      <w:r>
        <w:rPr>
          <w:b/>
        </w:rPr>
        <w:t>E. 3</w:t>
      </w:r>
    </w:p>
    <w:p>
      <w:r>
        <w:t>Sur la base de la jurisprudence relative à l' art. 168 al. 1 let . d CPC ( ATF 141 III 433 ), le défendeur soutient que la Cour de justice a indument assimilé les certificats d'incapacité de travail établis par le docteur V.________, médecin traitant du demandeur, à une expertise judiciaire. Ces certificats n'ont pas été créés afin de servir de moyen de preuve dans un procès, mais, au premier chef, pour être remis au défendeur et justifier envers lui de l'inexécution du travail auquel le demandeur était contractuellement obligé. Le certificat médical d'incapacité de travail est un moyen de preuve usuel dans les relations entre travailleur et employeur (Thomas Geiser et al., Arbeitsrecht in der Schweiz, 4e éd., 2019, n° 431 p. 194; Rémy Wyler et Boris Heinzer, Droit du travail, 3e éd., 2014, § 6.1.5 p. 227). La Cour de justice ne saurait avoir violé l' art. 168 al. 1 let . d CPC en attribuant à ces certificats la portée que le défendeur devait lui-même leur reconnaître selon les règles du droit du travail. Les certificats du docteur V.________ ne fournissaient aucun renseignement sur la nature de la maladie censée empêcher l'exécution du travail. D'autres avis médicaux, ceux-ci plus détaillés, ont été établis par d'autres médecins, en particulier par le médecin-conseil du défendeur. Chacun de ces avis est résumé dans l'arrêt attaqué; en substance, tous attestent que le demandeur souffrait d'un grave trouble orthopédique aux genoux, ayant pour effet de rendre ce travailleur incapable d'accomplir des travaux pénibles en terrain instable et déclive. La Cour de justice pouvait donc constater ce trouble et cet effet sans apprécier arbitrairement les preuves qui lui étaient soumises. La Cour de justice constate par ailleurs que l'activité principale du demandeur, au service du défendeur, consistait à contrôler le travail des autres employés viticoles et à leur donner des instructions, et que cette activité nécessitait une présence continue et des déplacements réguliers dans les vignes. La Cour juge que le trouble orthopédique aux genoux avait pour effet d'empêcher cette même activité. Cette appréciation n'est pas sérieusement contestée. Il s'ensuit qu'une incapacité de travail au moins partielle est établie à satisfaction de droit.</w:t>
      </w:r>
    </w:p>
    <w:p>
      <w:r>
        <w:rPr>
          <w:b/>
        </w:rPr>
        <w:t>E. 4</w:t>
      </w:r>
    </w:p>
    <w:p>
      <w:r>
        <w:t>Sur la base d'un arrêt du Tribunal fédéral des assurances concernant le droit aux indemnités de l'assurance-chômage ( ATF 115 V 437 consid. 6 p. 445), le défendeur soutient que le demandeur est déchu de son droit au salaire faute d'avoir annoncé sa capacité résiduelle de travail et faute de s'être mis à disposition pour « une tâche ou une autre », compatible avec le trouble orthopédique empêchant le travail dans les vignes. Le défendeur fait plus précisément valoir que le demandeur assumait accessoirement la tâche de conduire un véhicule automobile pour transporter les autres employés à leur lieu de travail, que le trouble orthopédique ne l'empêchait pas de conduire, et qu'il aurait pu et dû se mettre à disposition pour l'exécution de ces transports.</w:t>
      </w:r>
    </w:p>
    <w:p>
      <w:r>
        <w:rPr>
          <w:b/>
        </w:rPr>
        <w:t>E. 4.1</w:t>
      </w:r>
    </w:p>
    <w:p>
      <w:r>
        <w:t>L'arrêt invoqué portait sur un cas où une travailleuse pleinement apte au travail croyait erronément que le contrat de travail, résilié par l'employeuse, avait pris fin; la travailleuse avait pour ce motif cessé de se rendre dans l'entreprise. L'employeuse ignorait cette erreur et elle ignorait pourquoi la travailleuse abandonnait son poste. Le Tribunal fédéral des assurances a jugé que la travailleuse aurait dû offrir sa prestation de travail et que, faute de l'avoir fait, elle n'avait pas droit au salaire pour le laps écoulé entre la cessation effective de son travail et la fin du contrat. Par suite, la travailleuse avait en principe, sous réserve des autres conditions légales, droit aux indemnités de l'assurance-chômage durant ce laps. Le tribunal a souligné que dans les circonstances de l'espèce, il n'incombait pas à l'employeuse d'interpeller la travailleuse pour réclamer la prestation de travail; il a en revanche envisagé que dans des circonstances différentes, un devoir d'investigation et d'interpellation puisse s'imposer à l'employeur en vertu des règles de la bonne foi (consid. 6 i.f. p. 447). La présente contestation ne porte pas sur le droit du demandeur au salaire convenu mais sur son droit à des dommages-intérêts, lesquels, à bien comprendre l'argumentation du défendeur, devraient être refusés en application de l' art. 44 al. 1 CO . Dès réception du rapport fourni par le docteur W.________, le défendeur a su que du point de vue médical, le demandeur n'était pas totalement incapable de travailler. Si réellement le défendeur avait à cette époque la possibilité et la volonté d'affecter cet employé à une tâche compatible avec son trouble orthopédique, adaptée à ses compétences professionnelles, autre que la tâche habituellement assumée dans les vignes, il lui incombait d'user du pouvoir d'instruction à lui conféré par l' art. 321d CO et de faire connaître cette volonté au demandeur. Le rapport du docteur W.________ a apporté au défendeur une information qui distingue significativement la présente contestation de celle résolue par l'arrêt ci-mentionné du Tribunal fédéral des assurances.</w:t>
      </w:r>
    </w:p>
    <w:p>
      <w:r>
        <w:rPr>
          <w:b/>
        </w:rPr>
        <w:t>E. 4.2</w:t>
      </w:r>
    </w:p>
    <w:p>
      <w:r>
        <w:t>Une réelle volonté d'affecter le demandeur à une tâche de substitution n'est pas constatée par la Cour de justice et elle ne paraît guère vraisemblable. Le défendeur n'a pas indiqué de manière concrète, dans le procès, la tâche qu'il aurait censément pu attribuer au demandeur. Au contraire, l'allusion à « une tâche ou une autre », sans plus de précision, dénote que la capacité résiduelle du demandeur n'est invoquée que rétrospectivement, dans le seul but d'échapper à l'obligation de dédommager. La mention du transport des autres employés, transport auquel le demandeur était occupé de manière marginale, ne suffit pas à établir la véritable utilité d'un conducteur dans l'exploitation du domaine viticole. Le défendeur se borne à réclamer la suppression du dédommagement, sans avancer aucun élément propre à permettre l'estimation d'une éventuelle réduction des dommages-intérêts, mesure qui est aussi prévue par l' art. 44 al. 1 CO . Le moyen tiré de cette disposition est en vérité inconsistant et il n'influence pas le sort de l'action en paiement.</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