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88/2022 vom 22. August 2022</w:t>
      </w:r>
    </w:p>
    <w:p>
      <w:r>
        <w:t>Bundesgericht, 2022-08-22, FR</w:t>
      </w:r>
    </w:p>
    <w:p>
      <w:r>
        <w:rPr>
          <w:b/>
        </w:rPr>
        <w:t xml:space="preserve">Quelle: </w:t>
      </w:r>
      <w:r>
        <w:t>https://mcp.opencaselaw.ch/entscheid/bger_4A_88_2022</w:t>
      </w:r>
    </w:p>
    <w:p>
      <w:r>
        <w:t>FR: TF 4A 88/2022 du 22 août 2022</w:t>
      </w:r>
    </w:p>
    <w:p>
      <w:r>
        <w:t>IT: TF 4A 88/2022 del 22 agosto 2022</w:t>
      </w:r>
    </w:p>
    <w:p>
      <w:pPr>
        <w:pStyle w:val="Heading2"/>
      </w:pPr>
      <w:r>
        <w:t>Regeste</w:t>
      </w:r>
    </w:p>
    <w:p>
      <w:r>
        <w:t>consultation du rapport de gestion et du rapport de révision, | Droit des sociétés</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des sociétés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se plaint d'un établissement manifestement inexact des faits par la cour cantonale. Selon elle, la cour cantonale a retenu de manière insoutenable, que l'intimée était une seule société ayant transféré son adresse de la Suisse au Luxembourg, et non deux sociétés distinctes, l'une avec siège à Genève et l'autre au Luxembourg, avec pour conséquence que la cour cantonale aurait reconnu à tort à B.________ SA Luxembourg comme étant l'entité bénéficiant de la légitimation active.</w:t>
      </w:r>
    </w:p>
    <w:p>
      <w:r>
        <w:rPr>
          <w:b/>
        </w:rPr>
        <w:t>E. 3.1</w:t>
      </w:r>
    </w:p>
    <w:p>
      <w:r>
        <w:t>La cour cantonale a retenu en fait, qu'il n'existait qu'une seule société B.________ SA, et non deux, contrairement à ce que soutenait la recourante devant elle. Elle en a déduit en droit que la requérante avait la légitimation active, ce qui n'est pas remis en question par la recourante à ce stade. Selon la cour cantonale, la question de savoir si la requérante a valablement ou non transféré son adresse (recte: son siège) de la Suisse au Luxembourg n'est pas déterminante. S'il ne s'agissait que d'un transfert d'adresse, cela n'aurait aucune conséquence sur la compétence à raison du lieu selon la cour cantonale, ni sur la question de la notification des actes, puisque l'intimée avait fait élection de domicile auprès d'un avocat genevois. En outre, la cour cantonale a souligné que la recourante n'avait pas allégué qu'il y aurait un doute sur la question de savoir qui était la partie requérante à l'action, pas plus qu'elle ne l'a fait devant le Tribunal de première instance.</w:t>
      </w:r>
    </w:p>
    <w:p>
      <w:r>
        <w:rPr>
          <w:b/>
        </w:rPr>
        <w:t>E. 3.2</w:t>
      </w:r>
    </w:p>
    <w:p>
      <w:r>
        <w:t>La recourante ne démontre pas en quoi la cour cantonale aurait établi les faits de manière arbitraire. Elle ne démontre pas non plus que l'arbitraire dans l'établissement des faits conduirait à un résultat arbitraire, dès lors qu'elle n'expose pas avoir soulevé devant les instances précédentes un défaut de légitimation active de l'intimée. Elle ne fait qu'exposer une nouvelle fois sa propre version des faits de la même manière qu'elle l'a fait devant l'autorité précédente, sans toutefois parvenir à démontrer l'arbitraire. Elle ne démontre pas en particulier pourquoi elle considère qu'il existerait deux sociétés B.________ SA différentes, ni comment elle l'aurait démontré devant les deux instances précédentes, et en quoi la cour cantonale n'aurait pas tenu compte de cette démonstration de manière arbitraire. Au contraire, il ressort de la décision entreprise que la recourante n'a pas allégué l'existence de deux sociétés B.________ SA en première instance. Le grief de la recourante est par conséquent irrecevable.</w:t>
      </w:r>
    </w:p>
    <w:p>
      <w:r>
        <w:rPr>
          <w:b/>
        </w:rPr>
        <w:t>E. 4</w:t>
      </w:r>
    </w:p>
    <w:p>
      <w:r>
        <w:t>Au vu de ce qui précède, le recours doit être déclaré irrecevable. La recourante prendra à sa charge les frais de la procédure. Elle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