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4A_87/2025 vom 3. April 2025</w:t>
      </w:r>
    </w:p>
    <w:p>
      <w:r>
        <w:t>Bundesgericht, 2025-04-03, DE</w:t>
      </w:r>
    </w:p>
    <w:p>
      <w:r>
        <w:rPr>
          <w:b/>
        </w:rPr>
        <w:t xml:space="preserve">Quelle: </w:t>
      </w:r>
      <w:r>
        <w:t>https://mcp.opencaselaw.ch/entscheid/bger_4A_87_2025</w:t>
      </w:r>
    </w:p>
    <w:p>
      <w:r>
        <w:t>FR: TF 4A_87/2025 du 3 avril 2025</w:t>
      </w:r>
    </w:p>
    <w:p>
      <w:r>
        <w:t>IT: TF 4A_87/2025 del 3 aprile 2025</w:t>
      </w:r>
    </w:p>
    <w:p>
      <w:pPr>
        <w:pStyle w:val="Heading2"/>
      </w:pPr>
      <w:r>
        <w:t>Erwägungen</w:t>
      </w:r>
    </w:p>
    <w:p>
      <w:r>
        <w:rPr>
          <w:b/>
        </w:rPr>
        <w:t>E. 1</w:t>
      </w:r>
    </w:p>
    <w:p>
      <w:r>
        <w:t>Das Kantonsgericht Wallis gewährte mit Entscheid vom 7. Januar 2025 zweitinstanzlich dem Beschwerdegegner in der Betreibung Nr. xxx des Betreibungsamts Oberwallis für Fr. 1'586'856.35 nebst Zins seit dem 9. April 2019 und Fr. 50.-- Verwaltungsgebühren definitive Rechtsöffnung.</w:t>
      </w:r>
    </w:p>
    <w:p>
      <w:r>
        <w:t>Dagegen erhob die Beschwerdeführerin mit Eingabe vom 17. Februar 2025 Beschwerde an das Bundesgericht und ersuchte gleichzeitig darum, es sei der Beschwerde die aufschiebende Wirkung zu gewähren. Der Beschwerdegegner beantragte, die Beschwerde und das Gesuch um aufschiebende Wirkung sei abzuweisen. Die Vorinstanz verzichtete auf Vernehmlassung.</w:t>
      </w:r>
    </w:p>
    <w:p>
      <w:r>
        <w:t>Mit Schreiben vom 26. März 2025 erklärte die Beschwerdeführerin, sie ziehe ihre Beschwerde vom 17. Februar 2025 zurück (act. 14).</w:t>
      </w:r>
    </w:p>
    <w:p>
      <w:r>
        <w:rPr>
          <w:b/>
        </w:rPr>
        <w:t>E. 2</w:t>
      </w:r>
    </w:p>
    <w:p>
      <w:r>
        <w:t>Aufgrund des Rückzugs der Beschwerde wird das Verfahren durch den Abteilungspräsidenten als erledigt abgeschrieben ( Art. 32 Abs. 2 BGG ). Die Beschwerdeführerin wird dafür kostenpflichtig ( Art. 66 Abs. 1 - 3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