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87/2016 vom 27. Juni 2016</w:t>
      </w:r>
    </w:p>
    <w:p>
      <w:r>
        <w:t>Bundesgericht, 2016-06-27, DE</w:t>
      </w:r>
    </w:p>
    <w:p>
      <w:r>
        <w:rPr>
          <w:b/>
        </w:rPr>
        <w:t xml:space="preserve">Quelle: </w:t>
      </w:r>
      <w:r>
        <w:t>https://mcp.opencaselaw.ch/entscheid/bger_4A_87_2016</w:t>
      </w:r>
    </w:p>
    <w:p>
      <w:r>
        <w:t>FR: TF 4A 87/2016 du 27 juin 2016</w:t>
      </w:r>
    </w:p>
    <w:p>
      <w:r>
        <w:t>IT: TF 4A 87/2016 del 27 giugno 2016</w:t>
      </w:r>
    </w:p>
    <w:p>
      <w:pPr>
        <w:pStyle w:val="Heading2"/>
      </w:pPr>
      <w:r>
        <w:t>Regeste</w:t>
      </w:r>
    </w:p>
    <w:p>
      <w:r>
        <w:t>Forderung | Vertragsrecht</w:t>
      </w:r>
    </w:p>
    <w:p>
      <w:pPr>
        <w:pStyle w:val="Heading2"/>
      </w:pPr>
      <w:r>
        <w:t>Erwägungen</w:t>
      </w:r>
    </w:p>
    <w:p>
      <w:r>
        <w:rPr>
          <w:b/>
        </w:rPr>
        <w:t>E. 1.1</w:t>
      </w:r>
    </w:p>
    <w:p>
      <w:r>
        <w:t>Das Bundesgericht prüft von Amtes wegen und mit freier Kognition, ob ein Rechtsmittel zulässig ist ( Art. 29 Abs. 1 BGG ; BGE 140 IV 57 E. 2; 139 III 133 E. 1; je mit Hinweisen).</w:t>
      </w:r>
    </w:p>
    <w:p>
      <w:r>
        <w:rPr>
          <w:b/>
        </w:rPr>
        <w:t>E. 1.2</w:t>
      </w:r>
    </w:p>
    <w:p>
      <w:r>
        <w:t>Soweit sich die Beschwerde gegen das Urteil des Bezirksgerichts richtet, kann darauf von vornherein nicht eingetreten werden, denn die Beschwerde in Zivilsachen ist nur gegen Entscheide letzter kantonaler Instanzen zulässig ( Art. 75 Abs. 1 und Abs. 2 BGG ). Beim Entscheid des Kantonsgerichts handelt es sich demgegenüber um einen Entscheid einer letzten kantonalen Instanz, gegen den die Beschwerde in Zivilsachen zulässig ist.</w:t>
      </w:r>
    </w:p>
    <w:p>
      <w:r>
        <w:rPr>
          <w:b/>
        </w:rPr>
        <w:t>E. 1.3</w:t>
      </w:r>
    </w:p>
    <w:p>
      <w:r>
        <w:t>Da die Sachurteilsvoraussetzungen im Übrigen erfüllt sind, ist unter Vorbehalt einer rechtsgenüglichen Begründung ( Art. 42 Abs. 2 und Art. 106 Abs. 2 BGG ; vgl. Erwägung 2) auf die Beschwerde in Zivilsachen einzutreten.</w:t>
      </w:r>
    </w:p>
    <w:p>
      <w:r>
        <w:rPr>
          <w:b/>
        </w:rPr>
        <w:t>E. 2.1</w:t>
      </w:r>
    </w:p>
    <w:p>
      <w:r>
        <w:t>Mit Beschwerde in Zivilsachen können Rechtsverletzungen nach Art. 95 und 96 BGG gerügt werden. Das Bundesgericht wendet zwar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es ist jedenfalls nicht gehalten, wie eine erstinstanzliche Behörde alle sich stellenden rechtlichen Fragen zu untersuchen, wenn diese vor Bundesgericht nicht mehr vorgetragen werden (140 III 86 E. 2 mit Hinweisen).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je mit Hinweisen). Wenn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der Entscheid der Vorinstanz dazu Anlass gibt ( Art. 99 Abs. 1 BGG ), was in der Beschwerde näher darzulegen ist ( BGE 133 III 393 E. 3). Auf eine Kritik an den tatsächlichen Feststellungen der Vorinstanz, die diesen Anforderungen nicht genügt, ist nicht einzutreten ( BGE 140 III 16 E. 1.3.1 S. 18). Von vornherein kann die Beschwerdeführerin nicht gehört werden, soweit sie sich auf Inhalte der Besprechungsprotokolle der Parteien vom 2. und 20. April 2009 oder auf Aussagen des ehemaligen Rechtsvertreters des Beschwerdegegners beruft, soweit diese im vorinstanzlich festgestellten Sachverhalt keine Stütze finden bzw. darüber hinausgehen und sie keine Sachverhaltsrügen nach den oben erwähnten Grundsätzen erhebt, insbesondere nicht mit präzisen Aktenhinweisen aufzeigt, dass sie diese Tatsachen bereits vor der Vorinstanz prozesskonform angerufen hätte.</w:t>
      </w:r>
    </w:p>
    <w:p>
      <w:r>
        <w:rPr>
          <w:b/>
        </w:rPr>
        <w:t>E. 3</w:t>
      </w:r>
    </w:p>
    <w:p>
      <w:r>
        <w:t>Die Vorinstanz erwog bezüglich dem vom 14. Januar 2009 datierten, nicht unterzeichneten Vertragsentwurf, dass sich der Kaufgegenstand auf den Maschinenpark und das Inventar der Einzelfirma des Beschwerdegegners beziehe, die zu einem Pauschalpreis von Fr. 55'000.-- an die Beschwerdeführerin verkauft werden soll. Der Beschwerdegegner behaupte, dieser Vertrag sei am 14. Januar 2009 von den Parteien unterzeichnet worden, die Beschwerdeführerin habe jedoch das einzige unterzeichnete Exemplar am 13. März 2009 vernichtet, als die Parteien auf Verlangen der Beschwerdeführerin einen abgeänderten Vertragsentwurf unterzeichnet hätten. Unbestritten sei, dass die Parteien nach dem 14. Januar 2009 mehrere Erfüllungshandlungen vorgenommen haben. So habe die Beschwerdeführerin nach dem 14. Jaunar 2009 eine Zahlung von Fr. 10'000.-- geleistet, einen Teil des Inventars des Beschwerdegegners verkauft und die Umschreibung der [CAD-Softwarelizenz] D.________ eingeleitet. Ohne vertragliche Grundlage hätte die Beschwerdeführerin diese Erfüllungshandlungen kaum vorgenommen. Bereits daraus sei zu schliessen, dass am 14. Januar 2009 ein Vertrag zustande gekommen sei. Sodann habe die Beschwerdeführerin den Beschwerdegegner mit Schreiben vom 30. Juni 2009 darüber informiert, dass sie Fr. 800.-- für die "Hälfte der Januarmiete" bezahlen werde. Gemäss Ziffer 8 des Kaufvertrages [vom 14. Januar 2009] sei der Maschinenpark und das Inventar in der Werkstatt des Beschwerdegegners sofort abzuholen, andernfalls sich der Käufer an den Mietkosten zu beteiligen habe. In diesem Zusammenhang überzeuge die Behauptung des Beschwerdegegners, wonach die Maschinen und das Inventar erst am 29. Januar 2009 von der Beschwerdeführerin übernommen worden seien, weil sie ihre eigene Werkstatt erst im Januar 2009 bezogen habe. Ohne eine entsprechende vertragliche Grundlage vom 14. Januar 2009 hätte die Beschwerdeführerin die Hälfte der Miete des Beschwerdegegners für den Monat Januar 2009 nicht bezahlt. Aufgrund dieser Erfüllungshandlungen sei hinreichend erstellt, dass am 14. Januar 2009 ein Vertrag zustande gekommen sei. Zu prüfen bleibe, so die Vorinstanz weiter, ob der am 13. März 2009 unterzeichnete Kaufvertrag (datiert vom 14. Januar 2009) gültig zustande gekommen sei und ob mit diesem Vertrag derjenige vom 14. Januar 2009 noviert worden sei, weil gemäss Wortlaut des Ersteren alle vorherigen Verträge ersetzt würden. Die Vorinstanz ging zunächst auf den Inhalt des Vertrags vom 13. März 2009 ein und stellte unter anderem fest, dass nach Ziffer 2 der Kaufpreis "wiederum auf Fr. 55'000.-- beziffert" worden sei, wobei dieser Kaufpreis - abweichend vom Vertrag vom 14. Januar 2009 - in Fr. 20'000.-- für das Inventar und Fr. 35'000.-- für den Namen C.________ und deren geistiges Eigentum aufgeteilt worden sei. Die Vorinstanz würdigte anschliessend die Korrespondenz und Besprechungsprotokolle der Parteien und kam zum Schluss, dass aufgrund der Korrespondenz davon auszugehen sei, dass die Parteien bezüglich des geistigen Eigentums keinen Konsens erzielt hätten. Da es sich dabei um einen objektiv wesentlichen Punkt handle, sei zu schliessen, dass dem Vertrag vom 13. März 2009 kein tatsächlicher Konsens der Parteien zu Grunde liege. Der Kaufvertrag vom 13. März 2009 sei nicht gültig zustande gekommen, weshalb die vertragliche Vereinbarung vom 14. Januar 2009 auch nicht noviert worden sei. Der "Kaufpreis für den Maschinenpark und das Inventar etc." betrage demnach pauschal Fr. 55'000.--. Die Vorinstanz ging alsdann auf die weitere Korrespondenz und Besprechungsprotokolle der Parteien ein und erwog, dass auch diese weder "einen tatsächlichen noch einen rechtlichen Konsens" bezüglich des Kaufvertrags vom 13. März 2009 hinreichend zu begründen vermöchten. Die Parteien hätten zwar beabsichtigt, einen neuen Vertrag zu erstellen, seien aber nicht einig geworden. Damit werde die vertragliche Vereinbarung vom 14. Januar 2009 nicht noviert und die Beschwerdeführerin schulde dem Beschwerdegegner total Fr. 55'000.-- für den Maschinenpark und das Inventar der Einzelfirma C.________ des Beschwerdegegners. Dass die Beschwerdeführerin bereits Fr. 20'000.-- geleistet habe, werde nicht bestritten, weshalb die Erstinstanz die Beschwerdeführerin zu Recht verpflichtet habe, dem Beschwerdegegner noch Fr. 35'000.-- zu bezahlen.</w:t>
      </w:r>
    </w:p>
    <w:p>
      <w:r>
        <w:rPr>
          <w:b/>
        </w:rPr>
        <w:t>E. 4.1</w:t>
      </w:r>
    </w:p>
    <w:p>
      <w:r>
        <w:t>Gegen diese vorinstanzliche Beurteilung bringt die Beschwerdeführerin vor, dass die Tatsache des Vertragsschlusses [vom 14. Januar 2009] betreffend die Übertragung des Inventars des Beschwerdegegners zwischen den Parteien nicht umstritten sei, dessen Inhalt hingegen schon. Sie macht dabei einzig geltend, die Parteien hätten für das Inventar nicht einen Preis Fr. 55'000.-- vereinbart, sondern lediglich einen von Fr. 20'000.--. Es sei willkürlich, wenn die Vorinstanz, von der Übertragung des Inventars und der Zahlung von Fr. 10'000.-- auf die Vereinbarung eines Kaufpreises von Fr. 55'000.-- schliesse. Weder die Zahlung von Fr. 10'000.-- noch die Tatsache, dass der Vertragsentwurf vom 14. Januar 2009 gerade nicht unterzeichnet gewesen sei, würde eine derartige Schlussfolgerung nahelegen. Im Weiteren sei es willkürlich, wenn die Erstinstanz, deren Begründung sich die Vorinstanz zu eigen mache, erwogen habe, dass mit Blick auf die Inventarliste der Preis von Fr. 55'000.-- realistischer sei als ein Preis von Fr. 20'000.--. Entscheidend sei nicht der von den Vorinstanzen vermutete "objektive" Wert des Inventars, sondern lediglich der übereinstimmende gegenseitige Wille der Parteien. Schliesslich habe die Erstinstanz, deren Begründung die Vorinstanz übernommen habe, erwogen, dass sich der Beschwerdegegner aus dem Verkauf eine gewisse Absicherung mit Blick auf die Finanzierung seiner Pension versprochen habe. Es sei abwegig den Blickwinkel des Beschwerdegegners hinsichtlich seiner Pension auf die Beschwerdeführerin zu übertragen.</w:t>
      </w:r>
    </w:p>
    <w:p>
      <w:r>
        <w:rPr>
          <w:b/>
        </w:rPr>
        <w:t>E. 4.2</w:t>
      </w:r>
    </w:p>
    <w:p>
      <w:r>
        <w:t>Der Inhalt eines Vertrages ist wie dessen Bestand durch Auslegung der Willensäusserungen der Parteien zu bestimmen. 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Massgebend ist dabei der Zeitpunkt des Vertragsabschlusses. Nachträgliches Parteiverhalten ist bei der Auslegung nach dem Vertrauensprinzip nicht von Bedeutung; es kann höchstens - im Rahmen der Beweiswürdigung - auf einen tatsächlichen Willen der Parteien schliessen lassen.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132 III 626 E. 3.1 S. 632 mit Hinweisen).</w:t>
      </w:r>
    </w:p>
    <w:p>
      <w:r>
        <w:rPr>
          <w:b/>
        </w:rPr>
        <w:t>E. 4.3</w:t>
      </w:r>
    </w:p>
    <w:p>
      <w:r>
        <w:t>Die Rüge der Beschwerdeführerin geht fehl. Zunächst ist festzuhalten, dass die Vorinstanz, entgegen der Auffassung der Beschwerdeführerin, weder erwog, dass der Kaufpreis von Fr. 55'000.-- den "objektiven Wert des Inventars" darstelle, noch berücksichtigte sie für die Bestimmung des Kaufpreises die Pensionierung des Beschwerdegegners. Diese Vorbringen der Beschwerdeführerin gehen daher ins Leere. Die Vorinstanz verwies vielmehr auf den von den Parteien nicht unterzeichneten Vertragsentwurf vom 14. Januar 2009 und stellte fest, dass danach der Maschinenpark und das Inventar der Einzelfirma des Beschwerdegegners zu einem Pauschalpreis von Fr. 55'000.-- an die Beschwerdeführerin verkauft werden soll. Sie erwog anschliessend, dass aufgrund der Erfüllungshandlungen, namentlich, weil die Beschwerdeführerin nach dem 14. Januar 2009 eine Zahlung von Fr. 10'000.-- geleistet, einen Teil des Inventars des Beschwerdegegners verkauft, die Umschreibung einer Lizenz eingeleitet und die Hälfte der Miete für die Werkstatt für den Januar 2009 bezahlt habe, es "hinreichend erstellt [sei], dass am 14. Januar 2009 ein Vertrag zustande" gekommen sei. Die Vorinstanz schloss damit in der Beweiswürdigung aufgrund des nachträglichen Parteiverhaltens auf einen tatsächlich übereinstimmenden Willen der Parteien. Sie stützte sich bezüglich des Kaufpreises, zumindest implizit, auf den Vertragsentwurf vom 14. Januar 2009, wonach der Kaufpreis für den Maschinenpark und das Inventar der Einzelfirma des Beschwerdegegners "pauschal Fr. 55'000.--" betrage, und berücksichtige auch, dass im Vertrag vom 13. März 2009 der Kaufpreis von den Parteien "wiederrum auf Fr. 55'000.-- beziffert" worden sei. Inwiefern es geradezu unhaltbar sein soll (vgl. Erwägung 2.1), wenn die Vorinstanz gestützt darauf schloss, dass sich die Parteien am 14. Januar 2009 tatsächlich übereinstimmend darauf geeinigt haben, dass der Kaufpreis für den Maschinenpark und das Inventar der Einzelfirma des Beschwerdegegners Fr. 55'000.-- betrage, vermag die Beschwerdeführerin mit ihren Ausführungen nicht darzulegen. Weitere Rechtsverletzungen macht die Beschwerdeführerin nicht geltend, zumindest nicht hinreichend, sodass die Beschwerde nach dem Ausgeführten abzuweisen ist, soweit darauf eingetreten werden kann.</w:t>
      </w:r>
    </w:p>
    <w:p>
      <w:r>
        <w:rPr>
          <w:b/>
        </w:rPr>
        <w:t>E. 5</w:t>
      </w:r>
    </w:p>
    <w:p>
      <w:r>
        <w:t>Bei diesem Ausgang des Verfahrens wird die Beschwerdeführerin kosten- und entschädigungspflichtig ( Art. 66 Abs. 1 und Art. 68 Abs. 1 BGG ). Das Gesuch des Beschwerdegegners um unentgeltliche Rechtspflege wird damit in Bezug auf die Gerichtskosten gegenstandslos. Dies gilt indessen nicht in Bezug auf den unentgeltlichen Rechtsbeistand, da dem Rechtsvertreter des Beschwerdegegners im Fall seiner Bestellung als unentgeltlicher Rechtsbeistand bei Uneinbringlichkeit der Parteientschädigung aus der Bundesgerichtskasse ein Honorar bezahlt werden müsste ( Art. 64 Abs. 2 BGG ). Da die gesetzlichen Voraussetzungen erfüllt sind ( Art. 64 Abs. 1 und 2 BGG ) und auch die Notwendigkeit einer rechtlichen Verbeiständung zu bejahen ist, ist sein Gesuch daher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