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4A_85/2021 vom 8. Juli 2021</w:t>
      </w:r>
    </w:p>
    <w:p>
      <w:r>
        <w:t>Bundesgericht, 2021-07-08, FR</w:t>
      </w:r>
    </w:p>
    <w:p>
      <w:r>
        <w:rPr>
          <w:b/>
        </w:rPr>
        <w:t xml:space="preserve">Quelle: </w:t>
      </w:r>
      <w:r>
        <w:t>https://mcp.opencaselaw.ch/entscheid/bger_4A_85_2021</w:t>
      </w:r>
    </w:p>
    <w:p>
      <w:r>
        <w:t>FR: TF 4A_85/2021 du 8 juillet 2021</w:t>
      </w:r>
    </w:p>
    <w:p>
      <w:r>
        <w:t>IT: TF 4A_85/2021 del 8 luglio 2021</w:t>
      </w:r>
    </w:p>
    <w:p>
      <w:pPr>
        <w:pStyle w:val="Heading2"/>
      </w:pPr>
      <w:r>
        <w:t>Erwägungen</w:t>
      </w:r>
    </w:p>
    <w:p>
      <w:r>
        <w:rPr>
          <w:b/>
        </w:rPr>
        <w:t>E. 1</w:t>
      </w:r>
    </w:p>
    <w:p>
      <w:r>
        <w:t>Les conditions de recevabilité du recours en matière civile sont réalisées sur le principe, notamment celles afférentes à la valeur litigieuse minimale de 15'000 fr. ( art. 74 al. 1 let. a LTF ) et au délai de recours ( art. 46 al. 1 let . c et 100 al. 1 LTF).</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 Le recourant doit discuter les motifs de la décision entreprise et indiquer précisément en quoi il estime que l'autorité précédente a méconnu le droit ( ATF 140 III 86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L'arbitraire ne résulte pas du seul fait qu'une autre solution serait envisageable, voire préférable ( ATF 136 III 552 consid. 4.2).</w:t>
      </w:r>
    </w:p>
    <w:p>
      <w:r>
        <w:rPr>
          <w:b/>
        </w:rPr>
        <w:t>E. 3</w:t>
      </w:r>
    </w:p>
    <w:p>
      <w:r>
        <w:t>Tout d'abord, les recourants reprochent à la cour cantonale d'avoir procédé à une appréciation des preuves et un établissement des faits arbitraires sur plusieurs points. Il s'agit des surfaces des différents étages des immeubles concernés, de la surface précise louée par la Banque, des fonctions occupées par les témoins dont l'audition a été requise, ainsi que d'éléments que les recourants souhaitent voir apparaître dans l'état de fait de l'arrêt attaqué et non seulement au stade de la motivation juridique.</w:t>
      </w:r>
    </w:p>
    <w:p>
      <w:r>
        <w:t>Cependant, les différents points soulevés par les recourants ne seraient pas susceptibles d'influencer le sort de la cause, au vu des considérations qui suivent (cf. consid. 4 et 5</w:t>
      </w:r>
    </w:p>
    <w:p>
      <w:r>
        <w:t>infra ). Il n'y a dès lors pas lieu d'entrer en matière sur ce grief.</w:t>
      </w:r>
    </w:p>
    <w:p>
      <w:r>
        <w:rPr>
          <w:b/>
        </w:rPr>
        <w:t>E. 4</w:t>
      </w:r>
    </w:p>
    <w:p>
      <w:r>
        <w:t>Les recourants dénoncent ensuite une violation des art. 29 al. 2 Cst. , 8 CC et 152 CPC. Ils font grief à la cour cantonale d'avoir violé leur droit à la preuve en refusant l'administration de moyens de preuve qu'ils avaient sollicités dans le cadre de leur appel.</w:t>
      </w:r>
    </w:p>
    <w:p>
      <w:r>
        <w:rPr>
          <w:b/>
        </w:rPr>
        <w:t>E. 4.1</w:t>
      </w:r>
    </w:p>
    <w:p>
      <w:r>
        <w:t>Le droit à la preuve - qui découle tant du droit d'être entendu garanti par l' art. 29 al. 2 Cst. que, en droit privé fédéral, de l' art. 8 CC et qui est, depuis l'entrée en vigueur du CPC, également consacré à l' art. 152 CPC -, octroie à toute personne à laquelle incombe le fardeau de la preuve le droit, pour établir un fait pertinent contesté, de faire administrer les moyens de preuve adéquats, pour autant qu'ils aient été proposés régulièrement et en temps utile ( ATF 143 III 297 consid. 9.3.2; 133 III 295 consid. 7.1; arrêt 4A_280/2020 du 3 mars 2021 consid. 8.1).</w:t>
      </w:r>
    </w:p>
    <w:p>
      <w:r>
        <w:t>En revanche, le droit à la preuve n'est pas mis en cause lorsque le juge, par une appréciation anticipée, arrive à la conclusion que la mesure requise n'apporterait pas la preuve attendue, ou ne modifierait pas la conviction acquise sur la base des preuves déjà recueillies ( ATF 143 III 297 consid. 9.3.2; 140 I 285 consid. 6.3.1; 138 III 374 consid. 4.3.2). Le recourant doit alors invoquer l'arbitraire ( art. 9 Cst. ) dans l'appréciation des preuves, en motivant son grief conformément aux exigences plus strictes de l' art. 106 al. 2 LTF ( ATF 138 III 374 consid. 4.3.2; 137 I 58 consid. 4.1.2; 134 II 244 consid. 2.2).</w:t>
      </w:r>
    </w:p>
    <w:p>
      <w:r>
        <w:rPr>
          <w:b/>
        </w:rPr>
        <w:t>E. 4.2</w:t>
      </w:r>
    </w:p>
    <w:p>
      <w:r>
        <w:t>En l'espèce, la cour cantonale a relevé que les mesures probatoires supplémentaires étaient inutiles au vu des éléments de preuve déjà administrés et n'étaient pas susceptibles de changer l'issue du litige. Il n'est pas ici question du droit à la preuve, mais bien de l'appréciation anticipée des preuves effectuée par les magistrats cantonaux. Il appartenait ainsi aux recourants d'invoquer l'arbitraire dans cette appréciation, ce qu'ils n'ont pas fait.</w:t>
      </w:r>
    </w:p>
    <w:p>
      <w:r>
        <w:t>Un tel arbitraire n'est d'ailleurs pas décelable. On doit relever, à l'instar de l'instance précédente, que les preuves administrées avaient déjà apporté suffisamment d'éléments permettant de statuer, de sorte que les auditions requises étaient superflues (cf. consid. 5.4</w:t>
      </w:r>
    </w:p>
    <w:p>
      <w:r>
        <w:t>infra ). De plus, comme l'a souligné à juste titre la cour cantonale, les auditions de témoins sur des services rendus par les recourants à la Banque n'étaient pas nécessaires, car ces services ne sauraient constituer une contre-prestation issue d'un prétendu contrat de bail entre les recourants et l'intimée.</w:t>
      </w:r>
    </w:p>
    <w:p>
      <w:r>
        <w:t>La production de pièces supplémentaires relatives aux versements effectués par la Banque à l'intimée n'était pas non plus déterminante s'agissant des liens entre cette dernière et les recourants.</w:t>
      </w:r>
    </w:p>
    <w:p>
      <w:r>
        <w:t>Pour le surplus, l'instance précédente pouvait, sans arbitraire, refuser par appréciation anticipée des preuves d'admettre la production de documents qui étaient destinés, selon les recourants, à démontrer un manque de crédibilité de l'intimée. Ici aussi, les éléments administrés suffisaient pour statuer (cf. consid. 5.4</w:t>
      </w:r>
    </w:p>
    <w:p>
      <w:r>
        <w:t>infra ), indépendamment de cela.</w:t>
      </w:r>
    </w:p>
    <w:p>
      <w:r>
        <w:t>Ainsi, s'il est certes étonnant que la cour cantonale ait déclaré examiner la situation au moment où les accès ont été retirés aux recourants, et non à l'époque de la conclusion du prétendu contrat de bail, on ne décèle nul arbitraire dans son appréciation anticipée des preuves.</w:t>
      </w:r>
    </w:p>
    <w:p>
      <w:r>
        <w:rPr>
          <w:b/>
        </w:rPr>
        <w:t>E. 5</w:t>
      </w:r>
    </w:p>
    <w:p>
      <w:r>
        <w:t>Enfin, les recourants font grief à la cour cantonale d'avoir nié l'existence d'un contrat de bail les liant à l'intimée, en violation de l' art. 253 CO . Ils soutiennent que le règlement du loyer s'effectuait par la renonciation à percevoir des intérêts sur le prêt que X4.________ Ltd, puis X.________ SA avait octroyé à l'intimée pour acheter les immeubles en question, et par les services qu'ils rendaient à la Banque.</w:t>
      </w:r>
    </w:p>
    <w:p>
      <w:r>
        <w:rPr>
          <w:b/>
        </w:rPr>
        <w:t>E. 5.1</w:t>
      </w:r>
    </w:p>
    <w:p>
      <w:r>
        <w:t>Selon l' art. 1 al. 1 CO , le contrat est parfait lorsque les parties ont, réciproquement et d'une manière concordante, manifesté leur volonté. Les parties doivent s'être mises d'accord sur tous les éléments essentiels du contrat, faute de quoi celui-ci n'est pas venu à chef ( ATF 127 III 248 consid. 3d et les références citées; arrêt 4A_69/2019 du 27 septembre 2019 consid. 3.1).</w:t>
      </w:r>
    </w:p>
    <w:p>
      <w:r>
        <w:t>Le bail à loyer est un contrat par lequel le bailleur s'oblige à céder l'usage d'une chose au locataire, moyennant un loyer ( art. 253 CO ). Le montant du loyer est un élément essentiel du contrat de bail; ce montant doit être déterminé ou à tout le moins déterminable sur la base de l'accord des parties ( ATF 119 II 347 consid. 5a; arrêt 4C.162/2001 du 11 décembre 2001 consid. 2a).</w:t>
      </w:r>
    </w:p>
    <w:p>
      <w:r>
        <w:t>Le loyer ne doit pas nécessairement consister en une somme d'argent. Il peut s'agir d'une contre-prestation en nature ou en travail; on se trouve dans ces cas en présence d'un contrat mixte ou composé (arrêt 4C.373/2006 du 29 janvier 2007 consid. 4.2 et les références; HIGI/BÜHLMANN, Zürcher Kommentar, 2019, n° 30 ad art. 253 CO ; DAVID LACHAT, Le bail à loyer, 2019, p. 68, n° 1.6.5).</w:t>
      </w:r>
    </w:p>
    <w:p>
      <w:r>
        <w:t>Le contrat de bail n'est pas soumis à une forme spéciale (arrêts 4A_415/2017 du 31 octobre 2017 consid. 3.3; 4A_75/2015 du 9 juin 2015 consid. 3.1.1).</w:t>
      </w:r>
    </w:p>
    <w:p>
      <w:r>
        <w:rPr>
          <w:b/>
        </w:rPr>
        <w:t>E. 5.2</w:t>
      </w:r>
    </w:p>
    <w:p>
      <w:r>
        <w:t>Pour déterminer si un contrat a été conclu, quels en sont les cocontractants et quel en est le contenu, le juge doit interpréter les manifestations de volonté des parties ( ATF 144 III 93 consid. 5.2; arrêt 4A_379/2018 du 3 avril 2019 consid. 3.1 et les références citées).</w:t>
      </w:r>
    </w:p>
    <w:p>
      <w:r>
        <w:t>Selon les règles d'interprétation des contrats déduites de l' art. 18 CO , le juge doit d'abord rechercher la réelle et commune intention des parties (interprétation subjective) puis, à défaut, interpréter leurs comportements selon le principe de la confiance (interprétation objective) ( ATF 144 III 93 consid. 5.2.2 et 5.2.3; arrêts 4A_421/2020 du 26 février 2021 consid. 3.1; 4A_379/2018 du 3 avril 2019 consid. 3.1 et les références citées).</w:t>
      </w:r>
    </w:p>
    <w:p>
      <w:r>
        <w:rPr>
          <w:b/>
        </w:rPr>
        <w:t>E. 5.3</w:t>
      </w:r>
    </w:p>
    <w:p>
      <w:r>
        <w:t>Selon le principe de la transparence, on ne peut pas s'en tenir sans réserve à l'existence formelle de deux personnes juridiquement distinctes lorsque tout l'actif ou la quasi-totalité de l'actif d'une société appartient soit directement, soit par personnes interposées, à une même personne, physique ou morale; malgré la dualité de personnes à la forme, il n'existe pas deux entités indépendantes, la société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 art. 2 al. 2 CC ; sur le principe de la transparence en général: cf. ATF 132 III 489 consid. 3.2).</w:t>
      </w:r>
    </w:p>
    <w:p>
      <w:r>
        <w:t>L'application du principe de la transparence suppose donc, premièrement, qu'il y ait identité de personnes, conformément à la réalité économique, ou en tout cas la domination économique d'un sujet de droit sur l'autre; il faut deuxièmement que la dualité soit invoquée de manière abusive, c'est-à-dire pour en tirer un avantage injustifié ( ATF 132 III 489 consid. 3.2; 121 III 319 consid. 5a/aa; arrêt 4A_600/2019 du 17 juin 2020 consid. 4.1 et les références).</w:t>
      </w:r>
    </w:p>
    <w:p>
      <w:r>
        <w:rPr>
          <w:b/>
        </w:rPr>
        <w:t>E. 5.4</w:t>
      </w:r>
    </w:p>
    <w:p>
      <w:r>
        <w:t>En l'espèce, la cour cantonale a d'abord considéré que les identités des parties au contrat n'étaient pas clairement établies, en particulier quant aux locataires. Selon les propres allégations des appelants, il pouvait s'agir de plusieurs membres du " Groupe X.________ ", et non des appelants seuls, de sorte que ces derniers ne bénéficieraient pas seuls de la légitimation active. La cour cantonale a retenu, quoi qu'il en soit, que X4.________ Ltd, puis X.________ SA avaient consenti un prêt à l'intimée pour acquérir les immeubles sis à Genève. Le fait pour l'intimée de ne pas payer d'intérêts sur ce prêt ne permettait pas de conclure à une relation de bail à loyer entre l'intimée et les appelants. En effet, les parties au contrat de prêt et au prétendu contrat de bail étaient différentes. Le contrat de prêt ne mentionnait pas que le non-paiement des intérêts équivaudrait au loyer de locaux loués par les appelants. De plus, ces derniers avaient échoué à démontrer les éléments permettant d'appliquer le principe de la transparence. Ils ne pouvaient donc pas se prévaloir de cette renonciation à percevoir des intérêts. Au demeurant, la part du loyer relative à cette renonciation n'était pas déterminée, ni déterminable, car les appelants alléguaient seulement un taux d'intérêt théorique de 5 % l'an, et non le taux réel auquel avait renoncé le prêteur. Les appelants avaient en outre allégué un prêt de 52'100'000 fr., avant de réduire ce montant à 18'500'000 fr., ce qui modifiait sensiblement le montant des intérêts. Par ailleurs, l'application du principe de la transparence devait également être écarté s'agissant des services rendus par les appelants à la Banque. L'intimée et la Banque constituant deux entités distinctes, les services rendus par les recourants à cette dernière ne sauraient constituer un loyer issu d'un contrat de bail les liant à l'intimée. Pour le surplus, les appelants n'avaient ni allégué la teneur, ni l'ampleur de ces services.</w:t>
      </w:r>
    </w:p>
    <w:p>
      <w:r>
        <w:rPr>
          <w:b/>
        </w:rPr>
        <w:t>E. 5.5</w:t>
      </w:r>
    </w:p>
    <w:p>
      <w:r>
        <w:t>Les recourants ne s'en prennent pas véritablement à la motivation de l'arrêt attaqué. Ils affirment de manière générale que conformément à l' art. 18 CO , la cour cantonale devait déterminer la réelle et commune intention des parties lors de la conclusion du contrat, puis retenir que les conditions légales d'un contrat de bail étaient remplies. En revanche, ils ne critiquent pas explicitement les considérations de la cour cantonale relatives à l'identité des parties au contrat. Ils ne discutent pas non plus les motifs de l'arrêt attaqué quant au principe de la transparence et à l'absence de contre-prestation de leur part. Enfin, ils ne s'en prennent pas valablement au raisonnement de l'instance précédente sur la teneur et l'ampleur des services rendus à la Banque ou sur le montant des intérêts du prêt. Or, les éléments précités, en particulier s'agissant des parties au contrat et de la contre-prestation des recourants, sont pertinents dans le cadre de l'analyse de la conclusion d'un prétendu contrat de bail, voire d'un contrat mixte. Ils devaient être discutés par les recourants pour répondre aux exigences de motivation prévalant devant le Tribunal fédéral.</w:t>
      </w:r>
    </w:p>
    <w:p>
      <w:r>
        <w:t>En définitive, l'argumentation des recourants ne permet pas de retenir que la cour cantonale aurait violé le droit fédéral en niant l'existence d'un contrat de bail les liant à l'intimée portant sur les locaux litigieux.</w:t>
      </w:r>
    </w:p>
    <w:p>
      <w:r>
        <w:rPr>
          <w:b/>
        </w:rPr>
        <w:t>E. 6</w:t>
      </w:r>
    </w:p>
    <w:p>
      <w:r>
        <w:t>Par conséquent, le recours doit être rejeté dans la mesure où il est recevable.</w:t>
      </w:r>
    </w:p>
    <w:p>
      <w:r>
        <w:t>Les recourants, qui succombent, prendronten charge les frais judiciaires ( art. 66 al. 1 LTF ). Ils verseront en outre une indemnité de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