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4A_85/2011 vom 20. Juni 2011</w:t>
      </w:r>
    </w:p>
    <w:p>
      <w:r>
        <w:t>Bundesgericht, 2011-06-20, FR</w:t>
      </w:r>
    </w:p>
    <w:p>
      <w:r>
        <w:rPr>
          <w:b/>
        </w:rPr>
        <w:t xml:space="preserve">Quelle: </w:t>
      </w:r>
      <w:r>
        <w:t>https://mcp.opencaselaw.ch/entscheid/bger_4A_85_2011</w:t>
      </w:r>
    </w:p>
    <w:p>
      <w:r>
        <w:t>FR: TF 4A_85/2011 du 20 juin 2011</w:t>
      </w:r>
    </w:p>
    <w:p>
      <w:r>
        <w:t>IT: TF 4A_85/2011 del 20 giugno 2011</w:t>
      </w:r>
    </w:p>
    <w:p>
      <w:pPr>
        <w:pStyle w:val="Heading2"/>
      </w:pPr>
      <w:r>
        <w:t>Erwägungen</w:t>
      </w:r>
    </w:p>
    <w:p>
      <w:r>
        <w:rPr>
          <w:b/>
        </w:rPr>
        <w:t>E. 1</w:t>
      </w:r>
    </w:p>
    <w:p>
      <w:r>
        <w:t>Toute conclusion nouvelle est irrecevable ( art. 99 al. 2 LTF ). Dans la mesure où la recourante, qui n'a pas déposé de demande reconventionnelle en instance cantonale, entend faire constater qu'elle n'est pas débitrice envers l'intimée d'un montant supérieur aux 96'304 fr. faisant l'objet de la demande de l'intimée, sa conclusion est irrecevable. Il en va de même pour la conclusion en constatation de ce que les débiteurs de l'intimée sont A.________ et V.________ SA, au demeurant des tiers qui ne sont même pas parties à la procédure.</w:t>
      </w:r>
    </w:p>
    <w:p>
      <w:r>
        <w:t>Aucun fait nouveau ni preuve nouvelle ne peut être présenté, à moins de résulter de la décision de l'autorité précédente ( art. 99 al. 1 LTF ). Cette exception permet uniquement d'alléguer des faits qui ne sont devenus pertinents qu'en raison de l'argumentation inattendue de l'autorité précédente (arrêt 4A_269/2010 du 23 août 2010 consid. 1.3, in SJ 2011 I 58); elle n'est pas réalisée en l'espèce. La production de nouvelles pièces les 3 mai et 9 juin 2011, de surcroît après l'échéance du délai de recours, n'est pas admissible.</w:t>
      </w:r>
    </w:p>
    <w:p>
      <w:r>
        <w:rPr>
          <w:b/>
        </w:rPr>
        <w:t>E. 2</w:t>
      </w:r>
    </w:p>
    <w:p>
      <w:r>
        <w:t>La recourante se plaint d'abord d'une violation de l' art. 363 CO . Elle soutient que A.________ a agi en qualité d'entrepreneur général et non pas comme son représentant. Comme en instance cantonale, elle conteste être partie au contrat d'entreprise et partant débitrice de la créance de l'intimée en paiement du prix de l'ouvrage.</w:t>
      </w:r>
    </w:p>
    <w:p>
      <w:r>
        <w:t>La recourante se contente d'affirmer qu'on ne saurait retenir sa légitimation passive vu le rôle central indéniable joué par A.________ et la société qu'il administrait. On ne voit pas en quoi cela exclurait que A.________ ait conclu le contrat d'entreprise au nom de la recourante. Quoi qu'il en soit, la Chambre civile a précisément indiqué les motifs pour lesquels elle retenait que la recourante devait être considérée comme partie au contrat. La recourante ne discute pas ces motifs dont elle ne souffle mot; une telle critique ne satisfait pas aux exigences de motivation d'un recours au Tribunal fédéral ( art. 42 al. 2 LTF ; ATF 134 II 244 consid. 2.1). Le grief est irrecevable.</w:t>
      </w:r>
    </w:p>
    <w:p>
      <w:r>
        <w:rPr>
          <w:b/>
        </w:rPr>
        <w:t>E. 3</w:t>
      </w:r>
    </w:p>
    <w:p>
      <w:r>
        <w:t>La recourante se plaint ensuite d'une violation des art. 368 et 370 CO . La Chambre civile n'aurait à tort pas retenu qu'elle avait avisé à temps l'intimée de l'existence de défauts.</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ch. 4.1.4.2 ad art. 92). Il peut certes rectifier ou compléter les faits s'ils ont été établis de façon manifestement inexacte, notion qui correspond à l'arbitraire, ou en violation du droit au sens de l' art. 95 LTF , ce pour autant que la correction soit susceptible d'influer sur le sort de la cause ( art. 97 al. 1 et art. 105 al. 2 LTF ). Cette exception à la règle selon laquelle le Tribunal fédéral ne revoit pas les faits ne permet toutefois pas aux parties de rediscuter dans leurs mémoires les faits de la cause comme si elles plaidaient devant un juge d'appel. Dans la mesure où il est question d'arbitraire dans l'établissement des faits ou d'application anticonstitutionnelle du droit procédural cantonal, les exigences de motivation sont celles, plus strictes, de l' art. 106 al. 2 LTF ; la partie recourante doit alors expliquer de manière circonstanciée en quoi les conditions pour rectifier ou compléter l'état de fait seraient réalisées ( ATF 133 II 249 consid. 1.4.3).</w:t>
      </w:r>
    </w:p>
    <w:p>
      <w:r>
        <w:t>En l'espèce, la Chambre civile a retenu qu'il n'était pas établi que les infiltrations d'eau aient persisté après l'intervention de l'intimée en juin 2008. La recourante se limite à affirmer sans autre précision que sa maison subit toujours des infiltrations d'eau. Cela ne suffit pas pour que la Cour de céans puisse s'écarter de l'état de fait constaté par l'autorité cantonale.</w:t>
      </w:r>
    </w:p>
    <w:p>
      <w:r>
        <w:t>Pour ce qui concerne d'autres défauts, la Chambre civile a constaté que l'allégation, intervenue au stade de l'appel seulement, était tardive en vertu de la procédure cantonale encore applicable à l'époque et qu'au surplus, ni ces défauts ni l'avis en temps utile n'étaient établis. La recourante ne tente pas de démontrer ni a fortiori ne démontre que c'est en violation de l'interdiction constitutionnelle de l'arbitraire que la Chambre civile a considéré les nouvelles allégations comme inadmissibles (cf. ATF 133 III 462 consid. 2.3 et 4.4.1); il est partant d'emblée exclu de tenir compte de ces prétendus défauts. De plus, la recourante n'en démontre pas l'existence, si ce n'est qu'elle invoque à cet effet des devis des 31 janvier et 1er février 2011, à savoir des documents établis postérieurement à l'arrêt attaqué et partant irrecevables parce que nouveaux ( art. 99 al. 1 LTF ).</w:t>
      </w:r>
    </w:p>
    <w:p>
      <w:r>
        <w:t>La Chambre civile enfin a retenu qu'un prétendu défaut des escaliers n'était pas non plus établi. La recourante n'en dit mot.</w:t>
      </w:r>
    </w:p>
    <w:p>
      <w:r>
        <w:t>Il s'ensuit que les moyens de droit soulevés doivent être examinés sur la base des faits retenus dans l'arrêt attaqué. La preuve de défauts n'étant pas rapportée, les griefs sont sans autre infondés.</w:t>
      </w:r>
    </w:p>
    <w:p>
      <w:r>
        <w:rPr>
          <w:b/>
        </w:rPr>
        <w:t>E. 4</w:t>
      </w:r>
    </w:p>
    <w:p>
      <w:r>
        <w:t>La recourante se plaint enfin d'une violation de l' art. 373 al. 1 CO , qui traite du prix fixé à forfait. Elle relève que les deux devis de l'intimée portaient en tout sur 40'000 fr. et que la facture totale est de 242'304 fr.; elle estime ne pas devoir payer plus que le montant des devis majoré de 10%.</w:t>
      </w:r>
    </w:p>
    <w:p>
      <w:r>
        <w:t>Il ne ressort pas de l'arrêt attaqué que les parties auraient fixé un prix forfaitaire; aucune preuve dans ce sens n'est d'ailleurs évoquée. L'arrêt entrepris ne constate pas non plus que l'intimée aurait présenté un devis de 40'000 fr. Par contre, il retient qu'il avait été convenu avec l'intimée que les travaux seraient rémunérés à l'heure et au prix coûtant, que les travaux facturés ont été effectivement exécutés et que la recourante ou son représentant ont acquitté sans réserve six acomptes pour un total de 146'000 fr. Dans ces circonstances, la critique de la recourante n'est pas compréhensible.</w:t>
      </w:r>
    </w:p>
    <w:p>
      <w:r>
        <w:rPr>
          <w:b/>
        </w:rPr>
        <w:t>E. 5</w:t>
      </w:r>
    </w:p>
    <w:p>
      <w:r>
        <w:t>Dans la faible mesure où il est recevable, le recours est infondé. La recourante supporte les frais et dépens de la procédure (art. 66 al. 1 et art. 68 al. 1 et 2 LTF ); au vu de la brièveté de la réponse, les dépens de l'intimée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