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4A_84/2026 vom 12. März 2026</w:t>
      </w:r>
    </w:p>
    <w:p>
      <w:r>
        <w:t>Bundesgericht, 2026-03-12, DE</w:t>
      </w:r>
    </w:p>
    <w:p>
      <w:r>
        <w:rPr>
          <w:b/>
        </w:rPr>
        <w:t xml:space="preserve">Quelle: </w:t>
      </w:r>
      <w:r>
        <w:t>https://mcp.opencaselaw.ch/entscheid/bger_4A_84_2026</w:t>
      </w:r>
    </w:p>
    <w:p>
      <w:r>
        <w:t>FR: TF 4A_84/2026 du 12 mars 2026</w:t>
      </w:r>
    </w:p>
    <w:p>
      <w:r>
        <w:t>IT: TF 4A_84/2026 del 12 marzo 2026</w:t>
      </w:r>
    </w:p>
    <w:p>
      <w:pPr>
        <w:pStyle w:val="Heading2"/>
      </w:pPr>
      <w:r>
        <w:t>Erwägungen</w:t>
      </w:r>
    </w:p>
    <w:p>
      <w:r>
        <w:rPr>
          <w:b/>
        </w:rPr>
        <w:t>E. 1</w:t>
      </w:r>
    </w:p>
    <w:p>
      <w:r>
        <w:t>Das Einzelgericht Audienz des Bezirksgerichts Zürich verpflichtete den Beschwerdeführer mit Urteil vom 15. Dezember 2025, die Einzimmerwohnung an der U.________strasse in V.________ unverzüglich zu räumen und dem Beschwerdegegner ordnungsgemäss zu übergeben.</w:t>
      </w:r>
    </w:p>
    <w:p>
      <w:r>
        <w:t>Eine vom Beschwerdeführer dagegen gerichtete Beschwerde wies das Obergericht des Kantons Zürich mit Urteil vom 14. Januar 2026 mit einlässlicher Begründung ab.</w:t>
      </w:r>
    </w:p>
    <w:p>
      <w:r>
        <w:t>Gegen dieses Urteil erhob der Beschwerdeführer beim Bundesgericht mit vom 16. Februar 2026 datierter, der Post indessen erst am 18. Februar 2026 übergebener Eingabe Beschwerde. Ein Gesuch des Beschwerdeführers, es sei der Beschwerde die aufschiebende Wirkung zu erteilen, wies der Präsident der I. zivilrechtlichen Abteilung des Bundesgerichts mit Verfügung vom 20. Februar 2026 ab. Mit nicht unterzeichneter Eingabe vom 10. März 2026 ersuchte der Beschwerdeführer erneut um Gewährung der aufschiebenden Wirkung.</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w:t>
      </w:r>
    </w:p>
    <w:p>
      <w:r>
        <w:t>Diesen Anforderungen genügt die Eingabe vom 16./18. Februar 2026 offensichtlich nicht, legt der Beschwerdeführer darin doch nicht rechtsgenügend, unter hinreichender Auseinandersetzung mit den Erwägungen im angefochtenen Urteil dar, inwiefern die Vorinstanz Bundesrecht mit ihrem darauf gestützten Entscheid verletzt haben soll. Auf die demnach unzulässige Beschwerde ist somit im vereinfachten Verfahren nach Art. 108 Abs. 1 lit. b BGG nicht einzutreten, wobei sich die Urteilsbegründung auf eine kurze Angabe des Unzulässigkeitsgrundes beschränkt ( Art. 108 Abs. 3 BGG ).</w:t>
      </w:r>
    </w:p>
    <w:p>
      <w:r>
        <w:rPr>
          <w:b/>
        </w:rPr>
        <w:t>E. 3</w:t>
      </w:r>
    </w:p>
    <w:p>
      <w:r>
        <w:t>Dem Ausgang des Verfahrens entsprechend sind die Gerichtskosten dem Beschwerdeführer aufzuerlegen ( Art. 66 Abs. 1 BGG ). Parteientschädigungen sind keine zuzusprechen ( Art. 68 BGG ).</w:t>
      </w:r>
    </w:p>
    <w:p>
      <w:r>
        <w:t>Mit dem vorliegenden Entscheid in der Sache selbst wird das erneute Gesuch um Erteilung der aufschiebenden Wirkung vom 10. März 2026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