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4A_84/2011 vom 15. April 2011</w:t>
      </w:r>
    </w:p>
    <w:p>
      <w:r>
        <w:t>Bundesgericht, 2011-04-15, FR</w:t>
      </w:r>
    </w:p>
    <w:p>
      <w:r>
        <w:rPr>
          <w:b/>
        </w:rPr>
        <w:t xml:space="preserve">Quelle: </w:t>
      </w:r>
      <w:r>
        <w:t>https://mcp.opencaselaw.ch/entscheid/bger_4A_84_2011</w:t>
      </w:r>
    </w:p>
    <w:p>
      <w:r>
        <w:t>FR: TF 4A_84/2011 du 15 avril 2011</w:t>
      </w:r>
    </w:p>
    <w:p>
      <w:r>
        <w:t>IT: TF 4A_84/2011 del 15 aprile 2011</w:t>
      </w:r>
    </w:p>
    <w:p>
      <w:pPr>
        <w:pStyle w:val="Heading2"/>
      </w:pPr>
      <w:r>
        <w:t>Erwägungen</w:t>
      </w:r>
    </w:p>
    <w:p>
      <w:r>
        <w:rPr>
          <w:b/>
        </w:rPr>
        <w:t>E. 1</w:t>
      </w:r>
    </w:p>
    <w:p>
      <w:r>
        <w:t>Dirigés contre la même décision, les deux recours sont étroitement connexes et il se justifie donc de joindre les causes.</w:t>
      </w:r>
    </w:p>
    <w:p>
      <w:r>
        <w:rPr>
          <w:b/>
        </w:rPr>
        <w:t>E. 2</w:t>
      </w:r>
    </w:p>
    <w:p>
      <w:r>
        <w:t>Les recours sont dirigés contre un jugement final ( art. 90 LTF ), rendu en matière civile ( art. 72 al. 1 LTF ) et en dernière instance cantonale ( art. 75 al. 1 LTF ). Leurs auteurs ont pris part à l'instance précédente et succombé dans leurs conclusions ( art. 76 al. 1 LTF ). La valeur litigieuse excède le minimum légal de 15'000 fr. prévu en matière de droit du travail (art. 51 al. 1 let. a et 74 al. 1 let. a LTF); les mémoires de recours ont été introduits en temps utile ( art. 100 al. 1 LTF ) et ils répondent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3</w:t>
      </w:r>
    </w:p>
    <w:p>
      <w:r>
        <w:t>Le recours du demandeur porte exclusivement sur la compétence de la juridiction prud'homale, déclinée par la Cour d'appel, pour connaître d'une prétention de 330'000 euros fondée sur le contrat de licence.</w:t>
      </w:r>
    </w:p>
    <w:p>
      <w:r>
        <w:t>A teneur de l'art. 22 de la loi genevoise sur l'organisation judiciaire du 22 novembre 1941 (aOJ gen.), demeurée en vigueur jusqu'au 31 décembre 2010, le Tribunal de première instance connaissait en premier ou dernier ressort, selon la valeur litigieuse, de toutes les contestations en matière civile et commerciale, mobilière et immobilière. Sa compétence était toutefois exclue dans les causes qui ressortissaient au Tribunal de prud'hommes, selon la loi sur la juridiction des prud'hommes du 25 février 1999 (aLJP gen.); il s'agissait surtout, selon l'art. 1er al. 1 let. a aLJP gen., des contestations entre employeurs et salariés pour tout ce qui concernait leurs rapports découlant d'un contrat de travail, au sens du titre dixième du code des obligations. La législation genevoise actuelle, depuis le 1er janvier 2011, continue de délimiter ainsi les compétences respectives des juridictions ordinaire et prud'homale ( art. 86 al. 1 OJ gen.; art. 1er al. 1 let. a LJP gen.).</w:t>
      </w:r>
    </w:p>
    <w:p>
      <w:r>
        <w:t>L' art. 18 CO régit l'interprétation des déclarations et manifestations de volonté réciproques des cocontractants (cf. ATF 135 III 410 consid. 3.2 p. 412; 133 III 675 consid. 3.3 p. 681). Le demandeur s'y réfère pour soutenir que la Cour d'appel n'a pas élucidé correctement l'objet des contrats conclus le 19 octobre 2008. Il est vrai que l'application de l'art. 1er al. 1 let. a LJP gen. nécessite de qualifier la relation contractuelle des parties sur la base des règles de droit civil fédéral relatives au contrat de travail. Néanmoins, le droit fédéral n'impose pas aux cantons d'attribuer le contentieux du contrat de travail à une juridiction distincte de celles compétentes dans d'autres domaines, et depuis le 1er janvier 2011, leur liberté est consacrée par l' art. 4 al. 1 CPC ; c'est pourquoi les compétences fonctionnelles respectives du Tribunal de première instance et du Tribunal de prud'hommes sont délimitées exclusivement par le droit cantonal, alors même que celui-ci incorpore une définition appartenant au droit fédéral; en conséquence, et pour autant qu'un tribunal soit accessible selon l'organisation judiciaire cantonale, une décision relative à la compétence, telle que celle présentement litigieuse, ne peut pas contrevenir à ce droit-ci ( ATF 128 III 76 consid. 1a p. 80; 125 III 461 consid. 2 p. 463; 115 II 237 consid. 1c p. 241). En particulier, elle ne peut pas non plus contrevenir à l' art. 18 CO .</w:t>
      </w:r>
    </w:p>
    <w:p>
      <w:r>
        <w:t>Le demandeur se réfère également à l'art. 5 de la loi fédérale sur le droit international privé (LDIP). Cette disposition concerne les conventions d'élection de for; elle permet aux cocontractants, selon les modalités qu'elle spécifie, de soumettre un différend à naître aux tribunaux compétents du lieu voulu par eux et désigné dans leur accord, mais pour le surplus, elle ne leur garantit pas la faculté de déroger aux prescriptions cantonales délimitant les compétences fonctionnelles des tribunaux accessibles au lieu choisi.</w:t>
      </w:r>
    </w:p>
    <w:p>
      <w:r>
        <w:t>Le demandeur invoque encore l' art. 9 Cst. et se plaint d'une application arbitraire du droit cantonal. Il insiste sur la clause d'élection de for insérée dans le contrat de travail; il tente de démontrer que les deux contrats conclus le 19 octobre 2008, étroitement connexes, n'en sont en réalité qu'un seul, et que cette clause d'élection de for vise aussi les prétentions à élever sur la base du contrat de licence. Cette argumentation passe entièrement sous silence que ce contrat-ci prévoit un mode de règlement des litiges - un arbitrage international - excluant la compétence du Tribunal de prud'hommes, de sorte que le grief d'arbitraire apparaît d'emblée inconsistant. Le recours du demandeur se révèle mal fondé et il sera donc rejeté.</w:t>
      </w:r>
    </w:p>
    <w:p>
      <w:r>
        <w:rPr>
          <w:b/>
        </w:rPr>
        <w:t>E. 4</w:t>
      </w:r>
    </w:p>
    <w:p>
      <w:r>
        <w:t>La défenderesse conteste que le demandeur se trouvât en droit, le 5 août 2009, de résilier le contrat de travail.</w:t>
      </w:r>
    </w:p>
    <w:p>
      <w:r>
        <w:t>Les parties se sont liées par un contrat de travail de durée déterminée, soumis au droit suisse, qui devait se poursuivre jusqu'au 31 décembre 2010; ce contrat pouvait néanmoins, le cas échéant et en application de l' art. 337 al. 1 CO , être résilié sans délai pour de justes motifs.</w:t>
      </w:r>
    </w:p>
    <w:p>
      <w:r>
        <w:t>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 ATF 130 III 28 consid. 4.1 p. 31; 129 III 380 consid. 2.2 p. 382).</w:t>
      </w:r>
    </w:p>
    <w:p>
      <w:r>
        <w:t>Le juge apprécie librement, selon les règles du droit et de l'équité ( art. 4 CC ), si le congé abrupt répond à de justes motifs ( art. 337 al. 3 CO ). A cette fin, il prend en considération tous les éléments du cas particulier, notamment la position du travailleur, la nature et la durée des rapports contractuels, et la nature et l'importance des manquements ( ATF 130 III 28 consid. 4.1 p. 32; 127 III 351 consid. 4a p. 354). Le Tribunal fédéral ne contrôle qu'avec réserve une décision d'équité prise en dernière instance cantonale. Il intervient lorsque la décision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t>Dans sa décision, la Cour d'appel retient que les parties à un contrat de travail ont la faculté de définir conventionnellement certains justes motifs de résiliation immédiate. Cette affirmation doit être nuancée; en réalité, les cocontractants ne sont pas autorisés à restreindre le pouvoir d'appréciation que la loi confère au juge, et les motifs de résiliation conventionnels ont pour seule portée d'aider celui-ci à reconnaître, dans l'évaluation des circonstances, quelles étaient les attentes réciproques les plus importantes selon l'opinion commune des parties (arrêt 4C.149/2002 du 12 août 2002, consid. 1.1; Ullin Streiff et Adrian von Kaenel, Arbeitsvertrag, 6e éd., 2006, n° 26 ad art. 337 CO ; Christiane Brunner et al., Commentaire du contrat de travail, 3e éd., 2004, n° 7 ad art. 337 CO ; Manfred Rehbinder, in Commentaire bernois, 1992, n° 4 ad art. 337 CO ; voir aussi Piermarco Zen-Ruffinen, Droit du sport, 2002, p, 214 n° 629). Il s'ensuit que les juges d'appel ne pouvaient pas se référer simplement, sans plus de discussion, au droit de résiliation qui était censément conféré au coureur cycliste, selon le contrat de travail de 19 octobre 2008, au cas où l'employeuse l'empêcherait de participer aux compétitions durant une période continue de six semaines. Il s'imposait plutôt d'examiner si la résiliation du 5 août 2009 répondait effectivement à un juste motif.</w:t>
      </w:r>
    </w:p>
    <w:p>
      <w:r>
        <w:rPr>
          <w:b/>
        </w:rPr>
        <w:t>E. 5</w:t>
      </w:r>
    </w:p>
    <w:p>
      <w:r>
        <w:t>Dès mi-mai 2009, le demandeur a refusé la modification du contrat de travail demandée par l'employeuse, modification consistant à prévoir des sanctions conventionnelles en cas de dopage. Ces sanctions devaient s'ajouter à celles déjà prévues par les règles de l'Union cycliste internationale. Le refus de modifier le contrat ne pouvait évidemment pas être considéré comme une violation de ce même contrat, si louable que fût l'intention de la défenderesse de lutter énergiquement contre le dopage; le demandeur jouissait au contraire de la liberté contractuelle, qui inclut la liberté de ne pas contracter ( ATF 129 III 35 consid. 6.1 p. 42), et il l'a exercée en n'acceptant pas l'avenant qui lui était proposé. On observe d'ailleurs que la peine conventionnelle envisagée - cinq années de salaire - était grossièrement exagérée et sujette à réduction selon l' art. 163 al. 3 CO .</w:t>
      </w:r>
    </w:p>
    <w:p>
      <w:r>
        <w:t>En conséquence du refus qui lui était opposé, la défenderesse a établi et distribué un programme de courses, semble-t-il pour les mois de juillet et août 2009, où la participation du demandeur n'était pas prévue. La teneur de ce programme n'est pas constatée et le document n'a d'ailleurs pas été produit. Le 23 juin 2009, la défenderesse a confirmé au demandeur que jusqu'à nouvel avis, il ne serait plus inscrit à aucune course sous le maillot Z.________. A plusieurs reprises, avant de déclarer la résiliation du contrat de travail le 5 août 2009, le demandeur a vainement exigé d'être réintégré dans l'équipe.</w:t>
      </w:r>
    </w:p>
    <w:p>
      <w:r>
        <w:t>La défenderesse a ainsi exclu le demandeur des compétitions en équipe, pour une durée indéterminée qui était apparemment laissée à sa seule discrétion. Cette mesure n'était justifiée par aucun motif valable; en particulier, elle ne l'était pas par le refus du demandeur d'accepter des sanctions conventionnelles supplémentaires en cas de dopage. Il importe peu que les autres coureurs aient accepté, eux, des avenants identiques à ceux refusés par le demandeur. Il importe également peu que la défenderesse fût, selon ses affirmations, mécontente des prestations sportives du demandeur; les juges ne sont d'ailleurs pas en mesure d'apprécier les performances d'un coureur cycliste et il eût incombé à la demanderesse de requérir une expertise à ce sujet. Ladite mesure constituait une violation grave du contrat de travail, en tant qu'elle empêchait le demandeur de prendre part à « un nombre suffisant de courses » aux termes de ce même contrat.</w:t>
      </w:r>
    </w:p>
    <w:p>
      <w:r>
        <w:t>Le demandeur a plusieurs fois protesté et exigé sa réintégration. Certes, il n'a pas textuellement menacé la défenderesse d'une résiliation du contrat; néanmoins, selon les circonstances, un avertissement même dépourvu de cette menace explicite peut être concluant au regard de l' art. 337 CO ( ATF 127 III 153 consid. 1b-c p. 155). En l'occurrence, au regard des stipulations du contrat de travail visant spécialement le cas où l'employeuse entraverait l'activité du coureur pendant plus de six semaines, la défenderesse pouvait de toute manière s'attendre à une éventuelle résiliation.</w:t>
      </w:r>
    </w:p>
    <w:p>
      <w:r>
        <w:rPr>
          <w:b/>
        </w:rPr>
        <w:t>E. 6</w:t>
      </w:r>
    </w:p>
    <w:p>
      <w:r>
        <w:t>Le Tour de France s'est disputé du 4 au 26 juillet 2009, semble-t-il avec la participation de Z.________ mais certainement sans celle du demandeur. A l'appui de son recours, la défenderesse met en doute que le demandeur eût la volonté et la capacité d'y prendre part, et elle relève que la Cour d'appel n'a fait aucune constatation à ce sujet. Elle relève aussi que la Cour n'a constaté « ni l'existence d'autres courses ayant eu lieu pendant la période de suspension (du 23 juin au 5 août 2009), ni l'incapacité [du demandeur] d'y participer à titre individuel ».</w:t>
      </w:r>
    </w:p>
    <w:p>
      <w:r>
        <w:t>La défenderesse ne prétend pas que sur ces points, les juges d'appel aient méconnu des allégués topiques et des preuves concluantes. Or, si elle entendait faire valoir que le demandeur était exclu du Tour de France pour des motifs autres que son refus d'accepter les avenants proposés par elle dès le 14 mai 2009, il lui incombait, au regard de l' art. 8 CC qui répartit le fardeau de la preuve dans les causes soumises au droit civil fédéral, de l'alléguer et de le prouver.</w:t>
      </w:r>
    </w:p>
    <w:p>
      <w:r>
        <w:t>De même, si la défenderesse voulait faire valoir que le demandeur aurait pu prendre part à des compétitions autres que le Tour de France, à titre individuel, il lui incombait d'alléguer et de prouver l'existence de ces compétitions. Elle ne peut donc rien déduire, en sa faveur, du silence de la décision attaquée au sujet d'un contexte qui n'est pas décrit et qu'elle tient pour important. Cette décision indique seulement que le demandeur aurait pu demander l'autorisation de participer individuellement au Championnat de Belgique, dont la date n'est pas précisée. Au regard de ce seul élément, on ne peut pas retenir que le demandeur se soit de son propre chef, indépendamment de la suspension décidée par la défenderesse, abstenu de prendre part à un « nombre suffisant de courses ».</w:t>
      </w:r>
    </w:p>
    <w:p>
      <w:r>
        <w:t>La défenderesse ne peut non plus rien déduire de ce que le demandeur a refusé une entrevue proposée à Genève le 20 juillet 2009. La possibilité de prendre part à un entretien ne remplaçait pas celle de prendre part à des compétitions cyclistes.</w:t>
      </w:r>
    </w:p>
    <w:p>
      <w:r>
        <w:rPr>
          <w:b/>
        </w:rPr>
        <w:t>E. 7</w:t>
      </w:r>
    </w:p>
    <w:p>
      <w:r>
        <w:t>En définitive, il se confirme que l'exclusion imposée au demandeur, pour une durée indéterminée et sans motif pertinent, était gravement contraire aux obligations contractuelles de la défenderesse. Celle-ci a persisté dans son attitude nonobstant les protestations de son cocontractant. Dans ces conditions, il n'apparaît pas que les juges d'appel, en reconnaissant la validité de la résiliation du 5 août 2009, aient abusé du pouvoir d'appréciation à eux conféré par l' art. 337 al. 3 CO .</w:t>
      </w:r>
    </w:p>
    <w:p>
      <w:r>
        <w:t>Pour le surplus, la défenderesse ne met pas en doute que le montant de 409'583,50 euros soit alloué au demandeur conformément aux règles applicables au contrat de travail. Le recours de la défenderesse se révèle donc, lui aussi, privé de fondement.</w:t>
      </w:r>
    </w:p>
    <w:p>
      <w:r>
        <w:rPr>
          <w:b/>
        </w:rPr>
        <w:t>E. 8</w:t>
      </w:r>
    </w:p>
    <w:p>
      <w:r>
        <w:t>Chaque partie doit acquitter l'émolument judiciaire afférent à son propre recours. Les dépens sont compensés à concurrence de l'indemnité la plus faible et un montant résiduel de 1'500 fr. sera alloué au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