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4A_83/2020 vom 16. Juli 2020</w:t>
      </w:r>
    </w:p>
    <w:p>
      <w:r>
        <w:t>Bundesgericht, 2020-07-16, DE</w:t>
      </w:r>
    </w:p>
    <w:p>
      <w:r>
        <w:rPr>
          <w:b/>
        </w:rPr>
        <w:t xml:space="preserve">Quelle: </w:t>
      </w:r>
      <w:r>
        <w:t>https://mcp.opencaselaw.ch/entscheid/bger_4A_83_2020</w:t>
      </w:r>
    </w:p>
    <w:p>
      <w:r>
        <w:t>FR: TF 4A_83/2020 du 16 juillet 2020</w:t>
      </w:r>
    </w:p>
    <w:p>
      <w:r>
        <w:t>IT: TF 4A_83/2020 del 16 luglio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S. 79; 137 III 324 E. 1.1 S. 327 f.; je mit Verweisen; vgl. auch BGE 138 III 46 E. 1.1; vgl. etwa auch Urteil 4A_638/2018 vom 18. März 2019 E. 4 betr. die vorläufige Einstellung der Betreibung nach Art. 85a Abs. 2 SchKG ).</w:t>
      </w:r>
    </w:p>
    <w:p>
      <w:r>
        <w:t>Wie im angefochtenen Entscheid ausdrücklich festgehalten, war Gegenstand des vorinstanzlichen Verfahrens "bloss eine vorläufige - und nicht eine definitive - Einstellung der Vollstreckung". Wie auch in der Beschwerdeschrift zutreffend hervorgehoben wird, betrifft "[d]as angefochtene Urteil [...] die</w:t>
      </w:r>
    </w:p>
    <w:p>
      <w:r>
        <w:t>einstweilige Einstellung der Realvollstreckung des Auskunftsrechts [Hervorhebung hinzugefügt]". Die angeordnete Einstellung der Vollstreckung ist damit lediglich provisorischer Natur, indem sie nur Bestand hat, bis ein rechtskräftiger Entscheid des Prosequierungsgerichts vorliegt oder bis der ergangene Massnahmeentscheid infolge Aufhebung oder unbenutzten Ablaufs der Prosequierungsfrist dahinfällt. Erst nach Abschluss des Prosequierungsverfahrens wird das Vollstreckungsgericht endgültig über die Einstellung der Vollstreckung befinden. Es handelt sich beim angefochtenen Entscheid demnach um einen Zwischenentscheid im Sinne von Art. 93 Abs. 1 BGG .</w:t>
      </w:r>
    </w:p>
    <w:p>
      <w:r>
        <w:t>Der anwaltlich vertretene Beschwerdeführer bringt zwar in seiner Beschwerdeschrift unzutreffenderweise vor, die Beschwerde richte sich gegen einen Endentscheid gemäss Art. 90 BGG . Er beruft sich jedoch zu Recht nicht etwa darauf, er habe sich auf die Rechtsmittelbelehrung im angefochtenen Entscheid verlassen dürfen, wonach ein Endentscheid im Sinne dieser Bestimmung vorliege. Einer Partei darf wegen einer unrichtigen Rechtsmittelbelehrung zwar kein Nachteil erwachsen ( Art. 49 BGG ), jedoch vermag eine falsche Rechtsmittelbelehrung nicht eine im Gesetz nicht vorgesehene Rechtsmittelmöglichkeit zu begründen ( BGE 135 III 470 E. 1.2 S. 473).</w:t>
      </w:r>
    </w:p>
    <w:p>
      <w:r>
        <w:rPr>
          <w:b/>
        </w:rPr>
        <w:t>E. 1.2</w:t>
      </w:r>
    </w:p>
    <w:p>
      <w:r>
        <w:t>Gegen selbständig eröffnete Zwischenentscheide, die weder die Zuständigkeit noch den Ausstand betreffen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für die beschwerdeführende Partei günstigen Entscheid in der Zukunft nicht mehr behoben werden kann ( BGE 144 III 475 E. 1.2 S. 479; 143 III 416 E. 1.3; 141 III 80 E. 1.2; je mit Hinweisen). Rein tatsächliche Nachteile wie die Verlängerung oder Verteuerung des Verfahrens reichen nicht aus ( BGE 144 III 475 E. 1.2 S. 479; 142 III 798 E. 2.2 S. 801; 141 III 80 E. 1.2; je mit Hinweisen). Die selbständige Anfechtbarkeit von Zwischenentscheiden bildet aus prozessökonomischen Gründen eine Ausnahme vom Grundsatz, dass sich das Bundesgericht mit jeder Angelegenheit nur einmal befassen soll ( BGE 144 III 475 E. 1.2 S. 479; 142 III 798 E. 2.2 S. 801; 141 III 80 E. 1.2 S. 81). Die Ausnahme ist restriktiv zu handhaben ( BGE 144 III 475 E. 2.1 S. 479; 138 III 94 E. 2.2 S. 95).</w:t>
      </w:r>
    </w:p>
    <w:p>
      <w:r>
        <w:t>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in der Beschwerdebegründung aufgezeigt wird, inwiefern im konkreten Fall ein nicht wieder gutzumachender Nachteil rechtlicher Natur drohe ( BGE 144 III 475 E. 1.2 S. 479 f.; 137 III 324 E. 1.1 S. 328 f.).</w:t>
      </w:r>
    </w:p>
    <w:p>
      <w:r>
        <w:rPr>
          <w:b/>
        </w:rPr>
        <w:t>E. 1.3</w:t>
      </w:r>
    </w:p>
    <w:p>
      <w:r>
        <w:t>Im zu beurteilenden Fall ist nicht ersichtlich, dass diese Voraussetzungen erfüllt wären. Selbst wenn der Beschwerdeführer mit seinem Vorbringen in der Replik zu hören wäre, die Beschwerde sei "allein schon aufgrund von Art. 93 Abs. 1 lit. d [gemeint: lit. b] BGG ohne weiteres zulässig, da bei Gutheissung der vorliegenden Beschwerde sofort ein Endentscheid herbeigeführt und so ein bedeutender Aufwand an Zeit bzw. Kosten für ein weitläufiges Beweisverfahren erspart würde", könnte ihm nicht gefolgt werden. Es geht weder aus seinen Ausführungen hervor noch ist ersichtlich, um welches konkrete Beweisverfahren es sich dabei handeln, geschweige denn, inwiefern dieses besonders weitläufig im Sinne von Art. 93 Abs. 1 lit. b BGG sein soll.</w:t>
      </w:r>
    </w:p>
    <w:p>
      <w:r>
        <w:t>Ebenso wenig lässt sich ein nicht wieder gutzumachender Nachteil rechtlicher Natur ( Art. 93 Abs. 1 lit. a BGG ) daraus ableiten, dass der angefochtene Entscheid mit einer Verzögerung der vom Beschwerdeführer angestrebten sofortigen Vollstreckung des Erkenntnisentscheids verbunden ist, zumal es sich bei der Verlängerung des Verfahrens nach der Rechtsprechung um einen rein tatsächlichen Nachteil handelt, der keine sofortige Anfechtung rechtfertigt ( BGE 144 III 475 E. 1.2 S. 479; 142 III 798 E. 2.2 S. 801; 141 III 80 E. 1.2; je mit Hinweisen). Ausserdem verkennt der Beschwerdeführer mit seinen Ausführungen zum rechtlichen Gehör ( Art. 29 Abs. 2 BV ), dass er im Rahmen des definitiven Entscheids über die Einstellung der Vollstreckung nochmals anzuhören sein wird.</w:t>
      </w:r>
    </w:p>
    <w:p>
      <w:r>
        <w:t>Die Voraussetzungen für eine ausnahmsweise Anfechtbarkeit eines Zwischenentscheids nach Art. 93 Abs. 1 BGG sind demnach nicht erfüllt. Auf die Beschwerde ist nicht einzutreten.</w:t>
      </w:r>
    </w:p>
    <w:p>
      <w:r>
        <w:rPr>
          <w:b/>
        </w:rPr>
        <w:t>E. 2</w:t>
      </w:r>
    </w:p>
    <w:p>
      <w:r>
        <w:t>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