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4A_83/2015 vom 15. Juni 2015</w:t>
      </w:r>
    </w:p>
    <w:p>
      <w:r>
        <w:t>Bundesgericht, 2015-06-15, DE</w:t>
      </w:r>
    </w:p>
    <w:p>
      <w:r>
        <w:rPr>
          <w:b/>
        </w:rPr>
        <w:t xml:space="preserve">Quelle: </w:t>
      </w:r>
      <w:r>
        <w:t>https://mcp.opencaselaw.ch/entscheid/bger_4A_83_2015</w:t>
      </w:r>
    </w:p>
    <w:p>
      <w:r>
        <w:t>FR: TF 4A_83/2015 du 15 juin 2015</w:t>
      </w:r>
    </w:p>
    <w:p>
      <w:r>
        <w:t>IT: TF 4A_83/2015 del 15 giugno 2015</w:t>
      </w:r>
    </w:p>
    <w:p>
      <w:pPr>
        <w:pStyle w:val="Heading2"/>
      </w:pPr>
      <w:r>
        <w:t>Erwägungen</w:t>
      </w:r>
    </w:p>
    <w:p>
      <w:r>
        <w:rPr>
          <w:b/>
        </w:rPr>
        <w:t>E. 1</w:t>
      </w:r>
    </w:p>
    <w:p>
      <w:r>
        <w:t>Die Eintretensvoraussetzungen geben keinen Anlass zu Bemerkungen. Auf die Beschwerde ist - unter Vorbehalt einer genügenden Begründung ( Art. 42 Abs. 2 BGG ) - einzutreten.</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sowie Art. 106 Abs. 2 BGG , dass die Beschwerde auf die Begründung des angefochtenen Entscheids eingeht und im Einzelnen aufzeigt, worin eine Rechtsverletzung liegt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15 f.).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 Art. 97 Abs. 1 BGG ).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und erheblich sind ( BGE 140 III 16 E. 1.3.1 S. 18 mit Hinweisen). Soweit sie den Sachverhalt ergänzen will, hat sie zudem mit Aktenhinweisen darzulegen, dass sie entsprechende rechtsrelevante Tatsachen und taugliche Beweismittel bereits bei den Vorinstanzen prozesskonform eingebracht hat ( BGE 140 III 86 E. 2 S. 90 mit Hinweisen). Auf eine Kritik am angefochtenen Urteil, die diesen Anforderungen nicht genügt, ist nicht einzutreten.</w:t>
      </w:r>
    </w:p>
    <w:p>
      <w:r>
        <w:rPr>
          <w:b/>
        </w:rPr>
        <w:t>E. 3</w:t>
      </w:r>
    </w:p>
    <w:p>
      <w:r>
        <w:t>Gemäss Art. 65 SVG besteht bei Strassenverkehrsunfällen ein direktes Forderungsrecht gegen den Haftpflichtversicherer. Entsprechend macht der Beschwerdeführer Ansprüche gegen die Beschwerdegegnerin geltend. Der LKW war im Zeitpunkt des Unfalls auf dem Trottoir parkiert und nicht in Betrieb. Art. 58 Abs. 1 SVG kommt demzufolge nicht zur Anwendung. Der Beschwerdeführer beruft sich vielmehr auf Art. 58 Abs. 2 SVG als Grundlage für seine Ansprüche. Gemäss dieser Bestimmung haftet der Halter für die durch ein nicht in Betrieb befindliches Fahrzeug verursachten Schäden, wenn der Geschädigte beweist, "dass den Halter oder Personen, für die er verantwortlich ist, ein Verschulden trifft oder dass fehlerhafte Beschaffenheit des Motorfahrzeuges mitgewirkt hat". Die Bestimmung erfasst insbesondere gewisse typische Unfallsituationen, wie das Anhalten oder Parkieren an untunlicher Stelle ( BGE 107 II 269 E. 1a S. 272 mit Hinweisen). Es ist unbestritten, dass keine fehlerhafte Beschaffenheit des LKW vorliegt. Streitig ist, ob dem Fahrer C.________, für den die Halterin verantwortlich ist, ein Verschulden vorgeworfen werden kann.</w:t>
      </w:r>
    </w:p>
    <w:p>
      <w:r>
        <w:rPr>
          <w:b/>
        </w:rPr>
        <w:t>E. 3.1</w:t>
      </w:r>
    </w:p>
    <w:p>
      <w:r>
        <w:t>Das Strassenverkehrsgesetz definiert das Verschulden nicht spezifisch; es gelten die allgemeinen Grundsätze. Als Verschulden gilt der Verstoss gegen Vorschriften, die bezwecken, Unfälle zu verhüten und Sicherheit zu schaffen (Roland Brehm, Berner Kommentar, 4. Aufl. 2013, N. 173 zu Art. 41 OR ). Die Vorinstanz stellte fest, massgeblich seien die in Art. 37 Abs. 2 SVG und Art. 21 der Verkehrsregelnverordnung vom 13. November 1962 (VRV; SR 741.11) enthaltenen Regeln. Das ist zutreffend. Gemäss Art. 37 Abs. 2 SVG dürfen Fahrzeuge dort nicht anhalten oder aufgestellt werden, wo sie den Verkehr behindern oder gefährden. Und Art. 21 Abs. 2 VRV bestimmt: "Können Fahrzeuge zum Güterumschlag nicht ausserhalb der Strasse oder abseits vom Verkehr halten, so ist die Behinderung anderer Strassenbenützer möglichst zu vermeiden und die Ladetätigkeit ohne Verzug zu beenden". Dazu führte das Bundesgericht aus, eine Behinderung im Sinn von Art. 37 Abs. 2 SVG liege nur vor, wenn das fragliche Fahrzeug ein erhebliches Hindernis bildet, das trotz der den anderen Strassenbenutzern zuzumutenden Aufmerksamkeit zu Unfällen Anlass geben kann oder andere in besonderem Masse behindert, ihren Weg fortzusetzen ( BGE 102 II 281 E. 3a S. 283 mit Hinweis) bzw. dass das Parkieren eines Motorfahrzeuges am Strassenrand für sich allein noch keine Behinderung im Sinn von Art. 27 Abs. 2 SVG darstelle ( BGE 77 IV 117 E. 1 S. 119 f.).</w:t>
      </w:r>
    </w:p>
    <w:p>
      <w:r>
        <w:rPr>
          <w:b/>
        </w:rPr>
        <w:t>E. 3.2</w:t>
      </w:r>
    </w:p>
    <w:p>
      <w:r>
        <w:t>Der Beschwerdeführer legt ausführlich dar, die Beweiswürdigung der Vorinstanz sei willkürlich und verletze Art. 9 BV , indem diese anders als der erstinstanzliche Richter davon ausgegangen sei, es sei nicht bewiesen, ob der Beschwerdeführer die Ladebordwand tatsächlich gesehen habe oder nicht. Aufgrund der gesamten Umstände kann nach Auffassung des Beschwerdeführers kein vernünftiger Zweifel daran bestehen, dass er die in der Horizontalen abgeklappte Ladebordwand nicht gesehen habe. Indem die Vorinstanz bezüglich dieses inneren Vorgangs den vollen Beweis verlange, habe sie in Bezug auf das zugrunde zu legende Beweismass auch Art. 8 ZGB verletzt. In diesem Zusammenhang wirft er der Vorinstanz auch eine ungenügende und damit Art. 29 Abs. 2 BV verletzende Begründung vor. Er legt aber nicht dar, inwiefern die von ihm verlangte Korrektur des angeblich ungenügend begründeten Sachverhalts entscheiderheblich ist. Damit genügt er den Rügeanforderungen nicht, weshalb darauf nicht eingetreten werden kann (vgl. E. 2.2 hiervor). Aber selbst wenn auf die Rüge eingetreten werden könnte, wäre sie abzuweisen. Der Beschwerdeführer verkennt nämlich, dass die Frage, ob er selber die Ladebordwand gesehen hat oder nicht, gerade nicht entscheiderheblich ist. Massgeblich ist nach den oben dargestellten Grundsätzen zum Verschulden nicht die subjektive Aufmerksamkeit des Beschwerdeführers, sondern jene - objektivierte - eines durchschnittlichen Verkehrsteilnehmers.</w:t>
      </w:r>
    </w:p>
    <w:p>
      <w:r>
        <w:rPr>
          <w:b/>
        </w:rPr>
        <w:t>E. 3.3</w:t>
      </w:r>
    </w:p>
    <w:p>
      <w:r>
        <w:t>Der Beschwerdeführer verweist darauf, dass der LKW-Lenker C.________ wegen Widerhandlung gegen Art. 37 Abs. 2 SVG und Art. 21 Abs. 2 und 3 VRV i.V.m. Art. 90 Abs. 1 SVG rechtskräftig verurteilt worden sei. Die strafrechtliche Beurteilung bindet das Zivilgericht aber nicht ( Art. 53 OR ), wie der Beschwerdeführer selber ausführt.</w:t>
      </w:r>
    </w:p>
    <w:p>
      <w:r>
        <w:t>Beide Vorinstanzen haben das Verschulden zu Recht verneint. Der Unfall ereignete sich auf einer Nebenstrasse. Das Bundesgericht erwog in BGE 97 II 161 E. 4b S. 168, dass Nebenstrassen vornehmlich dem Nahverkehr dienen und auf solchen Strassen im Interesse der Verkehrsteilnehmer ein gewisses Risiko durch Halten und Parkieren geschaffen werden dürfe. Die Fahrzeugführer hätten daher Hindernisse zu gewärtigen. Nach den verbindlichen Feststellungen der Vorinstanz war der LKW sodann von weitem, mindestens jedoch aus hundert Metern Entfernung sichtbar. Die Vorinstanz hat auch zutreffend erkannt, dass nur deshalb, weil die Ladebordwand herunter geklappt war, die Situation nicht wesentlich gefährlicher war als eine "normale" Situation eines an übersichtlicher Stelle am Strassenrand parkierten LKW's. Auch wenn die Ladebordwand später erkennbar ist als der LKW selber, muss nicht damit gerechnet werden, dass ein Verkehrsteilnehmer bis auf wenige Meter an den LKW heranfährt und erst dann zum Überholen ansetzt. Was der Beschwerdeführer dagegen vorbringt, ist blosse appellatorische Kritik, auf die nicht einzutreten ist. Offensichtlich unbehelflich ist auch sein Einwand, der LKW-Lenker hätte gemäss Art. 21 Abs. 3 VRV ein Pannensignal oder Warnposten aufstellen müssen. Art. 21 Abs. 3 VRV verpflichtet hiezu, "wo (der Güterumschlag) den Verkehr gefährden könnte, z.B. auf kurvenreicher Bergstrasse". Es geht also darum, dass wegen der Unübersichtlichkeit eine Gefährdung besteht und die zusätzliche Signalisation und Warnung diese beseitigen bzw. mildern kann. Nachdem unbestritten ist, dass der LKW aus mindestens hundert Metern auf übersichtlicher Strasse erkennbar war, lag aber gerade keine solche Situation vor und ist nicht ersichtlich, welchen zusätzlichen Nutzen die in der Beschwerde verlangte Signalisation (Aufstellen eines Pannendreiecks/Markierungskegels am Rand der Fahrbahn 25 - 50 m vor dem LKW) gebracht hätte.</w:t>
      </w:r>
    </w:p>
    <w:p>
      <w:r>
        <w:rPr>
          <w:b/>
        </w:rPr>
        <w:t>E. 4</w:t>
      </w:r>
    </w:p>
    <w:p>
      <w:r>
        <w:t>Der Beschwerdeführer beruft sich sodann wie bereits vor der Vorinstanz auf den Gefahrensatz.</w:t>
      </w:r>
    </w:p>
    <w:p>
      <w:r>
        <w:rPr>
          <w:b/>
        </w:rPr>
        <w:t>E. 4.1</w:t>
      </w:r>
    </w:p>
    <w:p>
      <w:r>
        <w:t>Die Vorinstanz verneinte eine Haftung gestützt auf den Gefahrensatz. Für die im Strassenverkehr typischen Gefahrenlagen habe der Gesetzgeber mit den entsprechenden Normen Regelungen aufgestellt. Eine Haftung gestützt auf den Gefahrensatz käme allenfalls dann in Frage, wenn eine über den geregelten "Normalfall" hinausgehende gefährliche Situation geschaffen würde. Aus dem Umstand, dass das Strassenverkehrsgesetz und die Verkehrsregelverordnung für den Güterumschlag mit einer Ladebordwand nicht generell erhöhte Warnpflichten vorschrieben, könne geschlossen werden, dass dieser nicht als übermässig gefährlich erachtet werde.</w:t>
      </w:r>
    </w:p>
    <w:p>
      <w:r>
        <w:rPr>
          <w:b/>
        </w:rPr>
        <w:t>E. 4.2</w:t>
      </w:r>
    </w:p>
    <w:p>
      <w:r>
        <w:t>Der Gefahrensatz besagt, dass wer einen gefährlichen Zustand schafft oder unterhält, die nötigen Massnahmen ergreifen muss, um Schädigungen Dritter zu vermeiden. Er ist geeignet, bei Fehlen einer spezifischen Schutznorm eine Widerrechtlichkeit zu begründen (Urteil 4A_104/2012 vom 3. August 2012 E. 2.1 mit Hinweisen). Das Bundesgericht hat namentlich die Verkehrssicherungspflicht für Skipistenbetreiber, wo keine gesetzlichen Schutznormen bestehen, u.a. auf den Gefahrensatz abgestützt ( BGE 130 III 193 E. 2.2 S. 195; 126 III 113 E. 2a/aa S. 115; Urteil 4A_206/2014 vom 18. September 2014 E. 3.2). Wie weit die Verkehrssicherungspflicht im Einzelnen reicht, hängt von den Umständen des Einzelfalls ab, wobei als Massstab insbesondere gesetzliche Sicherheitsvorschriften heranzuziehen sind, wo diese bestehen (Urteil 4A_22/2008 vom 10. April 2008 E. 14 i.V.m. E. 15.1). Diese Grundsätze hat die Vorinstanz mit ihrer Begründung angewendet. Es ist nicht ersichtlich, was der Beschwerdeführer aus dem von ihm zitierten BGE 135 IV 56 E. 2.1 S. 65 ableiten will. Im Übrigen erschöpfen sich die Ausführungen in Wiederholungen des bereits vor Vorinstanz Vorgebrachten; darauf ist nicht einzutreten.</w:t>
      </w:r>
    </w:p>
    <w:p>
      <w:r>
        <w:rPr>
          <w:b/>
        </w:rPr>
        <w:t>E. 5</w:t>
      </w:r>
    </w:p>
    <w:p>
      <w:r>
        <w:t>Die Beschwerde ist abzuweisen, soweit darauf einzutreten ist.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