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4A_83/2013 vom 20. Juni 2013</w:t>
      </w:r>
    </w:p>
    <w:p>
      <w:r>
        <w:t>Bundesgericht, 2013-06-20, IT</w:t>
      </w:r>
    </w:p>
    <w:p>
      <w:r>
        <w:rPr>
          <w:b/>
        </w:rPr>
        <w:t xml:space="preserve">Quelle: </w:t>
      </w:r>
      <w:r>
        <w:t>https://mcp.opencaselaw.ch/entscheid/bger_4A_83_2013</w:t>
      </w:r>
    </w:p>
    <w:p>
      <w:r>
        <w:t>FR: TF 4A_83/2013 du 20 juin 2013</w:t>
      </w:r>
    </w:p>
    <w:p>
      <w:r>
        <w:t>IT: TF 4A_83/2013 del 20 giugno 2013</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dall'autorità ticinese di ultima istanza ( art. 75 cpv. 1 LTF ) in una causa civile ( art. 72 cpv. 1 LTF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 art. 74 cpv. 1 lett. b LTF ; art. 7 CPC ; art. 75 della legge ticinese di applicazione della LAMal del 26 giugno 1997 [RL/TI 6.4.6.1]; DTF 138 III 799 consid. 1.1).</w:t>
      </w:r>
    </w:p>
    <w:p>
      <w:r>
        <w:rPr>
          <w:b/>
        </w:rPr>
        <w:t>E. 2</w:t>
      </w:r>
    </w:p>
    <w:p>
      <w:r>
        <w:t>L'atto di ricorso deve contenere le conclusioni ( art. 42 cpv. 1 LTF ). In ragione della natura riformatoria del ricorso in materia civile ( art. 107 cpv. 2 LTF ) occorre formulare conclusioni chiare e precise e, quando l'azione tende al pagamento di una somma di denaro, le domande devono essere cifrate; la parte ricorrente non può limitarsi a chiedere l'annullamento della sentenza impugnata oppure il rinvio degli atti all'autorità cantonale, sotto pena dell'inammissibilità del ricorso. Fanno eccezione i casi nei quali la somma pretesa è facilmente riconoscibile nelle motivazioni del ricorso o della decisione impugnata oppure qualora il Tribunale federale, se accogliesse il ricorso, non sarebbe comunque in grado di statuire nel merito e dovrebbe ritornare gli atti per completare gli accertamenti di fatto ( DTF 134 III 235 consid. 1.3; cfr. 137 III 617 consid. 6.2 pag. 622).</w:t>
      </w:r>
    </w:p>
    <w:p>
      <w:r>
        <w:t>La ricorrente, come detto, chiede soltanto l'accoglimento del ricorso e l'annullamento della decisione cantonale. Si potrebbe presumere, a prima vista, ch'ella pretenda anche davanti al Tribunale federale il pagamento dell'importo di fr. 1'120.-- non riconosciuto dalla convenuta per le prestazioni fornite dalla C.________ SA. Due costatazioni impediscono tuttavia tale concessione. In primo luogo la sentenza cantonale ha accertato che in corso di causa la convenuta ha prorogato dal 15 al 21 gennaio 2012 la scadenza del periodo di copertura e ha di conseguenza riconosciuto e rimborsato fr. 120.-- supplementari sulla fattura emessa dalla C.________ SA per quel mese. La ricorrente accenna a questo fatto, si lamenta del ritardo del riconoscimento ma non spiega se tale importo sia da dedurre o no dalla pretesa originaria. In secondo luogo la Corta ticinese ha respinto la pretesa di rimborso dei due trasporti effettuati dalla D.________ per fr. 148.--. La ricorrente contesta la sentenza anche sotto questo profilo, ma di nuovo senza precisare in quale misura l'importo in questione sia compreso o debba essere aggiunto alla pretesa di fr. 1'120.-- fatta valere in causa.</w:t>
      </w:r>
    </w:p>
    <w:p>
      <w:r>
        <w:t>In definitiva, di fronte al silenzio della ricorrente, che non traduce in franchi il risultato delle proprie contestazioni, né l'atto di ricorso né la sentenza impugnata permettono di stabilire quale sia l'importo preciso del quale ella chiede il pagamento davanti al Tribunale federale. Sebbene le cifre in discussione siano esigue (costituiscono nondimeno il 24 % della pretesa di fr. 1'120.--), la ricorrente non ha fornito tutti gli elementi necessari affinché il giudizio impugnato possa se del caso essere riformato.</w:t>
      </w:r>
    </w:p>
    <w:p>
      <w:r>
        <w:rPr>
          <w:b/>
        </w:rPr>
        <w:t>E. 3</w:t>
      </w:r>
    </w:p>
    <w:p>
      <w:r>
        <w:t>In applicazione della predetta giurisprudenza il ricorso è pertanto inammissibile.</w:t>
      </w:r>
    </w:p>
    <w:p>
      <w:r>
        <w:t>Le spese seguono la soccombenza ( art. 66 cpv. 1 LTF ). La ricorrente non è tenuta a pagare ripetibili alla convenuta, la quale, davanti al Tribunale federale, non si è avvalsa del patrocinio di un avvocato ( DTF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