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4A_82/2025 vom 12. März 2025</w:t>
      </w:r>
    </w:p>
    <w:p>
      <w:r>
        <w:t>Bundesgericht, 2025-03-12, DE</w:t>
      </w:r>
    </w:p>
    <w:p>
      <w:r>
        <w:rPr>
          <w:b/>
        </w:rPr>
        <w:t xml:space="preserve">Quelle: </w:t>
      </w:r>
      <w:r>
        <w:t>https://mcp.opencaselaw.ch/entscheid/bger_4A_82_2025</w:t>
      </w:r>
    </w:p>
    <w:p>
      <w:r>
        <w:t>FR: TF 4A_82/2025 du 12 mars 2025</w:t>
      </w:r>
    </w:p>
    <w:p>
      <w:r>
        <w:t>IT: TF 4A_82/2025 del 12 marzo 2025</w:t>
      </w:r>
    </w:p>
    <w:p>
      <w:pPr>
        <w:pStyle w:val="Heading2"/>
      </w:pPr>
      <w:r>
        <w:t>Erwägungen</w:t>
      </w:r>
    </w:p>
    <w:p>
      <w:r>
        <w:rPr>
          <w:b/>
        </w:rPr>
        <w:t>E. 1</w:t>
      </w:r>
    </w:p>
    <w:p>
      <w:r>
        <w:t>Mit Entscheid vom 22. November 2024 wies das Zivilgericht Basel-Stadt die Beschwerdeführerin an, das von ihr gemietete Ladenlokal bis spätestens 31. Januar 2025 zu räumen, widrigenfalls werde die Beschwerdegegnerin im Sinn einer Ersatzvornahme auf entsprechenden Antrag ermächtigt, die Schlösser zum Ladenlokal auszutauschen und die sich im Ladenlokal befindlichen Gegenstände zu räumen und auf Kosten der Beschwerdeführerin einzulagern.</w:t>
      </w:r>
    </w:p>
    <w:p>
      <w:r>
        <w:t>Mit Entscheid vom 31. Januar 2025 trat das Appellationsgericht des Kantons Basel-Stadt auf die von der Beschwerdeführerin gegen den Entscheid des Zivilgerichts vom 22. November 2024 erhobene Berufung infolge unzureichender Begründung der Rechtsmitteleingabe nicht ein.</w:t>
      </w:r>
    </w:p>
    <w:p>
      <w:r>
        <w:t>Mit der Post am 13. Februar 2025 übergebener Eingabe erklärte die Beschwerdeführerin dem Bundesgericht, den Entscheid des Appellationsgerichts des Kantons Basel-Stadt vom 31. Januar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nicht hinreichend mit den Erwägungen des angefochtenen Entscheids des Appellationsgerichts des Kantons Basel-Stadt vom 31. Januar 2025 auseinander und zeigt nicht rechtsgenügend auf, inwiefern die Vorinstanz mit ihrem Nichteintretensentscheid Bundesrecht verletzt hätte. Vielmehr unterbreitet sie dem Bundesgericht ihre eigene Sicht der Dinge zu den angeblichen Hintergründen der erklärten Verrechnung, ohne eine hinreichend begründete Sachverhaltsrüge zu erheben. Dies ist im bundesgerichtlichen Verfahren unzulässig.</w:t>
      </w:r>
    </w:p>
    <w:p>
      <w:r>
        <w:t>Auf die Beschwerde ist somit im vereinfachten Verfahren nach Art. 108 Abs. 1 lit. b BGG nicht einzutreten.</w:t>
      </w:r>
    </w:p>
    <w:p>
      <w:r>
        <w:rPr>
          <w:b/>
        </w:rPr>
        <w:t>E. 3</w:t>
      </w:r>
    </w:p>
    <w:p>
      <w:r>
        <w:t>Das Gesuch um unentgeltliche Rechtspflege für das bundesgerichtliche Verfahren ist bereits wegen Aussichtslosigkeit der Beschwerde abzuweisen ( Art. 64 Abs. 1 BGG ), weshalb nicht geprüft werden muss, ob ein Ausnahmefall für die Gewährung der unentgeltlichen Rechtspflege an eine juristische Person in Betracht käme (dazu BGE 143 I 328 E. 3 mit Hinweisen).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