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4A_81/2019 vom 31. Oktober 2019</w:t>
      </w:r>
    </w:p>
    <w:p>
      <w:r>
        <w:t>Bundesgericht, 2019-10-31, IT</w:t>
      </w:r>
    </w:p>
    <w:p>
      <w:r>
        <w:rPr>
          <w:b/>
        </w:rPr>
        <w:t xml:space="preserve">Quelle: </w:t>
      </w:r>
      <w:r>
        <w:t>https://mcp.opencaselaw.ch/entscheid/bger_4A_81_2019</w:t>
      </w:r>
    </w:p>
    <w:p>
      <w:r>
        <w:t>FR: TF 4A_81/2019 du 31 octobre 2019</w:t>
      </w:r>
    </w:p>
    <w:p>
      <w:r>
        <w:t>IT: TF 4A_81/2019 del 31 ottobre 2019</w:t>
      </w:r>
    </w:p>
    <w:p>
      <w:pPr>
        <w:pStyle w:val="Heading2"/>
      </w:pPr>
      <w:r>
        <w:t>Erwägungen</w:t>
      </w:r>
    </w:p>
    <w:p>
      <w:r>
        <w:rPr>
          <w:b/>
        </w:rPr>
        <w:t>E. 1</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4A_402/2018 dell'11 marzo 2019 consid. 1).</w:t>
      </w:r>
    </w:p>
    <w:p>
      <w:r>
        <w:rPr>
          <w:b/>
        </w:rPr>
        <w:t>E. 2</w:t>
      </w:r>
    </w:p>
    <w:p>
      <w:r>
        <w:t>Giusta l'art. 393 lett. e CPC, norma che riprende il motivo di ricorso già previsto dall'abrogato art. 36 lett. f del Concordato sull'arbitrato del 27 marzo 1969 (CA),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w:t>
      </w:r>
    </w:p>
    <w:p>
      <w:r>
        <w:rPr>
          <w:b/>
        </w:rPr>
        <w:t>E. 2.1</w:t>
      </w:r>
    </w:p>
    <w:p>
      <w:r>
        <w:t>L'arbitro ha ritenuto che gli interessi di mora decorrono dal 5 ottobre 2001, data in cui è stato accredito sul conto della convenuta rubricato C.________ il dividendo da cui ha determinato l'importo spettante all'attore, perché giusta il punto 5.2 lett. b della convenzione 15 giugno 2001 " qualsiasi pagamento che dovesse essere fatto dal debitore o da terzi... [omissis].. andrà a favore, in parti uguali, di A.________ SA e di B.________ fino alla completa estinzione del credito di USD 450'000 di ciascuno ".</w:t>
      </w:r>
    </w:p>
    <w:p>
      <w:r>
        <w:rPr>
          <w:b/>
        </w:rPr>
        <w:t>E. 2.2</w:t>
      </w:r>
    </w:p>
    <w:p>
      <w:r>
        <w:t>La ricorrente ritiene il lodo arbitrario con riferimento alla data da cui partono gli interessi. Afferma che giusta l' art. 102 cpv. 1 CO il debitore, la cui obbligazione è scaduta, è costituito in mora mediante interpellazione del creditore, ma che l'opponente non aveva, fino all'avvio della procedura arbitrale, avanzato pretese. Il contratto non avrebbe neppure previsto una scadenza determinabile e non sarebbe nemmeno stato chiaro, fino alla pronuncia del lodo, in che misura il dividendo in questione spettasse all'opponente.</w:t>
      </w:r>
    </w:p>
    <w:p>
      <w:r>
        <w:t>Sostiene poi che l'opponente sarebbe incorso in un abuso di diritto nel senso dell' art. 2 cpv. 2 CC , perché ha atteso fino a poco prima dell'intervento della prescrizione per incoare il primo arbitrato. Afferma di essere stata in mora unicamente dal 16 dicembre 2016, quando è stata avviata la seconda procedura arbitrale, atteso che la prima procedura sarebbe a tal proposito irrilevante poiché terminata con un decreto di stralcio.</w:t>
      </w:r>
    </w:p>
    <w:p>
      <w:r>
        <w:rPr>
          <w:b/>
        </w:rPr>
        <w:t>E. 2.3</w:t>
      </w:r>
    </w:p>
    <w:p>
      <w:r>
        <w:t>Nella fattispecie, contrariamente a quanto pare suggerire la ricorrente, esistono altri casi accanto a quelli previsti dall' art. 102 cpv. 2 CO in cui il debitore si trova in mora senza essere stato interpellato. La dottrina annovera fra questi quelli in cui, in base alle circostanze concrete, solamente il debitore può riconoscere quando deve effettuare la sua prestazione (VON TUHR/ESCHER, Allgemeiner Teil des Schweizerischen Obligationenrechts, 3aed. 1974, vol. II, pag. 140; WOLFGANG WIEGAND, Commento basilese, Obligationenrecht I, 6a ed. 2015, n. 11 ad art. 102 CO ) e cita, a titolo di esempio, il caso - previsto dall' art. 400 cpv. 2 CO - del mandatario che ha ritardato il versamento di somme pervenutegli in forza del suo mandato. La ricorrente indica invero - come risulta dal lodo - che l'opponente era al corrente del versamento del dividendo, ma non sostiene che egli fosse pure a conoscenza degli importi che dovevano essere soddisfatti prioritariamente con esso. Sia come sia, non è in concreto ravvisabile perché sarebbe addirittura arbitrario considerare, come fatto dall'arbitro, che la clausola 5.2 lett. b rientri fra i casi in cui il debitore si trova in mora senza essere stato preventivamente interpellato, atteso che tale disposizione contrattuale prevede l'obbligo della ricorrente di incassare anche la parte del credito spettante all'opponente. Ne segue che la censura è infondata.</w:t>
      </w:r>
    </w:p>
    <w:p>
      <w:r>
        <w:t>Anche la lamentela di un preteso abuso di diritto da parte dell'opponente non è di soccorso alla ricorrente. Incorre in un abuso di diritto il creditore che aspetta a lungo per far valere la propria pretesa solo se sussistono elementi che fanno apparire l'attesa abusiva ( DTF 116 II 428 consid. 2). In concreto la ricorrente non si prevale di tali fattori. La censura risulta pertanto inammissibile.</w:t>
      </w:r>
    </w:p>
    <w:p>
      <w:r>
        <w:rPr>
          <w:b/>
        </w:rPr>
        <w:t>E. 3</w:t>
      </w:r>
    </w:p>
    <w:p>
      <w:r>
        <w:t>Da quanto precede discende che il ricorso si palesa, nella misura in cui è ammissibile, infondato e come tale va respinto. Con l'evasione del gravame, l'istanza di conferimento dell'effetto sospensivo è divenuta caduca. Le spese giudiziarie e le ripetibili seguono la soccombenza (art. 66 cpv. 1 e 68 cpv. 1 LTF). Con riferimento a quest'ultime giova ricordare che durante lo scambio iniziale di scritti l'opponente era patrocinato da un avvocato ed è quindi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