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81/2010 vom 10. Februar 2010</w:t>
      </w:r>
    </w:p>
    <w:p>
      <w:r>
        <w:t>Bundesgericht, 2010-02-10, FR</w:t>
      </w:r>
    </w:p>
    <w:p>
      <w:r>
        <w:rPr>
          <w:b/>
        </w:rPr>
        <w:t xml:space="preserve">Quelle: </w:t>
      </w:r>
      <w:r>
        <w:t>https://mcp.opencaselaw.ch/entscheid/bger_4A_81_2010</w:t>
      </w:r>
    </w:p>
    <w:p>
      <w:r>
        <w:t>FR: TF 4A 81/2010 du 10 février 2010</w:t>
      </w:r>
    </w:p>
    <w:p>
      <w:r>
        <w:t>IT: TF 4A 81/2010 del 10 febbraio 2010</w:t>
      </w:r>
    </w:p>
    <w:p>
      <w:pPr>
        <w:pStyle w:val="Heading2"/>
      </w:pPr>
      <w:r>
        <w:t>Regeste</w:t>
      </w:r>
    </w:p>
    <w:p>
      <w:r>
        <w:t>responsabilité de l'organe de révision; prescription | Droit des sociétés</w:t>
      </w:r>
    </w:p>
    <w:p>
      <w:pPr>
        <w:pStyle w:val="Heading2"/>
      </w:pPr>
      <w:r>
        <w:t>Erwägungen</w:t>
      </w:r>
    </w:p>
    <w:p>
      <w:r>
        <w:rPr>
          <w:b/>
        </w:rPr>
        <w:t>E. 1</w:t>
      </w:r>
    </w:p>
    <w:p>
      <w:r>
        <w:t>Le 6 novembre 2006, Y.________ SA a ouvert action contre X.________ SA devant le Tribunal de première instance du canton de Genève; par suite de manquements dans la révision des comptes de la demanderesse et de ceux d'une autre société liée à celle-ci, la défenderesse devait être condamnée au paiement de dommages-intérêts au montant de 21'238'411 fr., avec intérêts au taux de 5% par an dès le 1er octobre 1999. La défenderesse a conclu au rejet de l'action; elle excipait notamment de la prescription. Le tribunal s'est prononcé le 18 décembre 2008; il a accueilli l'exception et rejeté l'action. La Cour de justice a statué le 11 décembre 2009 sur l'appel de la demanderesse; elle a annulé le jugement, constaté que les prétentions de cette partie ne sont pas prescrites et renvoyé la cause au Tribunal de première instance pour instruction de la cause et nouveau jugement.</w:t>
      </w:r>
    </w:p>
    <w:p>
      <w:r>
        <w:rPr>
          <w:b/>
        </w:rPr>
        <w:t>E. 2</w:t>
      </w:r>
    </w:p>
    <w:p>
      <w:r>
        <w:t>Agissant par la voie du recours en matière civile, la défenderesse requiert le Tribunal fédéral de réformer l'arrêt de la Cour de justice en ce sens que le jugement du 18 décembre 2008 soit confirmé. La demanderesse n'a pas été invitée à répondre au recours.</w:t>
      </w:r>
    </w:p>
    <w:p>
      <w:r>
        <w:rPr>
          <w:b/>
        </w:rPr>
        <w:t>E. 3</w:t>
      </w:r>
    </w:p>
    <w:p>
      <w:r>
        <w:t>Le recours au Tribunal fédéral est recevable contre les décisions qui mettent fin à la procédure ( art. 90 LTF ). Il est aussi recevable contre les décisions préjudicielles ou incidentes communiquées séparément de la décision finale, lorsque, parmi d'autres cas, le succès du recours peut conduire immédiatement à une décision finale, et éviter ainsi une procédure probatoire longue et coûteuse ( art. 93 al. 1 let. b LTF ).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Il est constant que la décision attaquée ne termine pas le procès entrepris contre la défenderesse. Si le Tribunal fédéral accueillait le recours de cette partie et prononçait que l'action est atteinte par la prescription, cela constituerait une décision finale. La défenderesse omet cependant d'indiquer quelles sont les questions de fait encore litigieuses et quelles preuves, déjà offertes ou requises, doivent encore être administrées; elle se borne à affirmer, sans fournir plus de renseignements, que le rejet du recours « conduirait immanquablement à une procédure probatoire longue et coûteuse ». En raison de cette lacune, le recours est manifestement irrecevable au regard de l' art. 93 al. 1 let. b LTF , ce que la Présidente de la Cour peut constater en application de l' art. 108 al. 1 let. a LTF .</w:t>
      </w:r>
    </w:p>
    <w:p>
      <w:r>
        <w:rPr>
          <w:b/>
        </w:rPr>
        <w:t>E. 4</w:t>
      </w:r>
    </w:p>
    <w:p>
      <w:r>
        <w:t>A titre de partie qui succombe, la défenderesse doit acquitter l'émolument à percevoir par le Tribunal fédéral. L'autre partie n'a pas été invitée à répondre au recours et il ne lui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