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4A_80/2021 vom 9. November 2021</w:t>
      </w:r>
    </w:p>
    <w:p>
      <w:r>
        <w:t>Bundesgericht, 2021-11-09, FR</w:t>
      </w:r>
    </w:p>
    <w:p>
      <w:r>
        <w:rPr>
          <w:b/>
        </w:rPr>
        <w:t xml:space="preserve">Quelle: </w:t>
      </w:r>
      <w:r>
        <w:t>https://mcp.opencaselaw.ch/entscheid/bger_4A_80_2021</w:t>
      </w:r>
    </w:p>
    <w:p>
      <w:r>
        <w:t>FR: TF 4A_80/2021 du 9 novembre 2021</w:t>
      </w:r>
    </w:p>
    <w:p>
      <w:r>
        <w:t>IT: TF 4A_80/2021 del 9 novembre 2021</w:t>
      </w:r>
    </w:p>
    <w:p>
      <w:pPr>
        <w:pStyle w:val="Heading2"/>
      </w:pPr>
      <w:r>
        <w:t>Erwägungen</w:t>
      </w:r>
    </w:p>
    <w:p>
      <w:r>
        <w:rPr>
          <w:b/>
        </w:rPr>
        <w:t>E. 1</w:t>
      </w:r>
    </w:p>
    <w:p>
      <w:r>
        <w:t>Les conditions de recevabilité du recours en matière civile sont réalisées sur le principe, notamment celles afférentes au délai de recours ( art. 46 al. 1 let . c et art. 100 al. 1 LTF ) et à la valeur litigieuse minimale de 30'000 fr. ( art. 53 al. 1 et art. 74 al. 1 let. b LTF ; cf. arrêts 4A_94/2013 du 29 août 2013 consid. 1 et les références; 8C_796/2015 du 20 juin 2016 consid. 1.2).</w:t>
      </w:r>
    </w:p>
    <w:p>
      <w:r>
        <w:rPr>
          <w:b/>
        </w:rPr>
        <w:t>E. 2</w:t>
      </w:r>
    </w:p>
    <w:p>
      <w:r>
        <w:t>L'entrepreneuse ne nie pas que Z.________ SA détient contre elle une créance de 2'462'829 fr. 30 fondée sur le contrat d'entreprise du 9 novembre 2012; elle oppose toutefois en compensation des créances contestées (commissions de courtage), qui font l'objet de conclusions reconventionnelles. A ce stade, le litige se résume à déterminer si la recourante et l'intimée (via leurs représentants respectifs A.________ et Z.________) ont passé des contrats de courtage par actes concluants concernant la négociation d'un bail avec E.________ d'une part, et la négociation d'une vente immobilière avec F.________ d'autre part.</w:t>
      </w:r>
    </w:p>
    <w:p>
      <w:r>
        <w:rPr>
          <w:b/>
        </w:rPr>
        <w:t>E. 3</w:t>
      </w:r>
    </w:p>
    <w:p>
      <w:r>
        <w:t>L' art. 412 al. 1 CO définit le courtage comme " un contrat par lequel le courtier est chargé, moyennant un salaire, soit d'indiquer à l'autre partie l'occasion de conclure une convention, soit de lui servir d'intermédiaire pour la négociation d'un contrat".</w:t>
      </w:r>
    </w:p>
    <w:p>
      <w:r>
        <w:t>Les parties doivent s'accorder sur deux éléments objectivement essentiels (</w:t>
      </w:r>
    </w:p>
    <w:p>
      <w:r>
        <w:t>essentialia negotii ) : d'une part, la définition de l'activité que le courtier devra déployer en vue d'un contrat déterminé (courtage d'indication, de négociation, de présentation); d'autre part, le principe d'une rémunération ( ATF 139 III 217 consid. 2.3 p. 223; 131 III 268 consid. 5.1.2 p. 275; 90 II 92 consid. 6; FRANÇOIS RAYROUX, in Commentaire romand, Code des obligations I, 3e éd. 2021, n° s 4-6 et 11-12 ad art. 412 CO ; CATERINA AMMANN, in Basler Kommentar, Obligationenrecht I, 7e éd. 2020, nos 1-2 ad art. 412 CO ; TERCIER ET ALII, Les contrats spéciaux, 5e éd. 2016, nos 4936-4937 et 4944 ss; NICOLAS BRACHER, in Handkommentar zum Schweizer Privatrecht, 3e éd. 2016, nos 1, 4-5 ad art. 412 CO ). Il n'est en revanche pas nécessaire de prévoir le montant du salaire (cf. art. 414 CO ; arrêt 4C.70/2003 du 6 juin 2003 consid. 3.1</w:t>
      </w:r>
    </w:p>
    <w:p>
      <w:r>
        <w:t>i.f. ; RAYROUX, op. cit., n° 7 ad art. 412 CO ; TERCIER ET ALII, op. cit., n° 4948).</w:t>
      </w:r>
    </w:p>
    <w:p>
      <w:r>
        <w:t>La passation du contrat de courtage n'est soumise à aucune exigence de forme. En l'absence de déclarations expresses, elle peut résulter d'actes concluants ( ATF 131 III 268 consid. 5.1.2 p. 275). En ce dernier cas, on doit pouvoir déduire des circonstances que les parties se sont accordées sur les</w:t>
      </w:r>
    </w:p>
    <w:p>
      <w:r>
        <w:t>essentialia d'un contrat de courtage, en particulier que le mandant s'est engagé envers le courtier à lui verser un salaire (arrêt 4C.54/2001 du 9 avril 2002 consid. 2a; arrêt précité 4C.70/2003 consid. 3.1). La retenue est de mise lorsqu'il s'agit d'admettre la conclusion d'un tel contrat par actes concluants (cf. arrêts 4A_67/2011 du 7 juin 2011 consid. 1.2; 4C.328/2006 du 16 octobre 2007 consid. 3.1; arrêt précité 4C.54/2001 consid. 2a; ATF 72 II 84 consid. 1b p. 87; RAYROUX, op. cit., n° 17 ad art. 412 CO ; AMMANN, op. cit., n° 5 ad art. 412 CO ; MICHAEL VLCEK, in Kurzkommentar, Obligationenrecht, 2014, n° 6 ad art. 412 CO ). Les circonstances d'espèce sont déterminantes. Le juge s'attachera d'abord à dégager la commune et réelle intention des parties (interprétation subjective); s'il ne parvient pas à l'établir - parce que les preuves font défaut ou ne sont pas concluantes - ou s'il constate qu'une partie n'a pas compris la volonté exprimée par l'autre à l'époque de la conclusion du contrat (désaccord latent), il doit alors recourir à l'interprétation selon le principe de la confiance (ou interprétation objective), en recherchant comment une déclaration ou attitude devait être comprise de bonne foi ( ATF 131 III 268 consid. 5.1.3 p. 276; arrêt précité 4C.54/2001 consid. 2b; TERCIER ET ALII, op. cit., n° 4952; plus généralement, cf. ATF 144 III 93 consid. 5.2.2 et 5.2.3).</w:t>
      </w:r>
    </w:p>
    <w:p>
      <w:r>
        <w:t>L'interprétation subjective repose sur l'appréciation des preuves. Si elle s'avère concluante, le résultat qui en est tiré, c'est-à-dire la constatation d'une commune et réelle intention des parties, relève du domaine des faits et lie en principe le Tribunal fédéral ( ATF 142 III 239 consid. 5.2.1; arrêt 4A_643/2020 du 22 octobre 2021 consid. 4.2.3 [1°]). Ce mode d'interprétation prime l'interprétation objective, laquelle relève du droit ( ATF 131 III 467 consid. 1.1; arrêt précité 4A_643/2020 consid. 4.1 et 4.2.3 [1°-3°]).</w:t>
      </w:r>
    </w:p>
    <w:p>
      <w:r>
        <w:t>Le courtier qui réclame un salaire doit établir les circonstances permettant d'inférer un accord des parties (arrêts précités 4C.70/2003 consid. 3.1; 4C.54/2001 consid. 2a; RAYROUX, op. cit., no 17</w:t>
      </w:r>
    </w:p>
    <w:p>
      <w:r>
        <w:t>i.f. ad art. 412 CO ). Il doit en outre prouver qu'il a agi, et que son intervention a été couronnée de succès (cf. art. 413 al. 1 CO ; ATF 131 III 268 consid. 5.1.2 p. 275).</w:t>
      </w:r>
    </w:p>
    <w:p>
      <w:r>
        <w:rPr>
          <w:b/>
        </w:rPr>
        <w:t>E. 4</w:t>
      </w:r>
    </w:p>
    <w:p>
      <w:r>
        <w:t>La recourante soutient que la partie adverse lui aurait confié, contre rémunération, la tâche de négocier un bail avec E.________ d'une part, et une vente immobilière avec F.________ d'autre part.</w:t>
      </w:r>
    </w:p>
    <w:p>
      <w:r>
        <w:t>La Chambre patrimoniale a exclu que les parties aient eu la réelle et commune intention de confier à l'entrepreneuse la conduite des négociations du bail avec E.________ et de la vente avec F.________ (1 er élément essentiel du courtage); elle a également écarté la thèse d'accords de droit découlant du principe de la confiance. Par surabondance, elle a nié une volonté réelle et commune de faire intervenir l'entrepreneuse à titre onéreux (2 e élément essentiel), en précisant que l'interprétation objective menait à la même conclusion.</w:t>
      </w:r>
    </w:p>
    <w:p>
      <w:r>
        <w:t>La Cour d'appel a quant à elle rejeté les griefs de l'entrepreneuse, tout en jugeant "convaincante (s) ", d'une part, la constatation selon laquelle il n'y avait pas d'accord de fait sur les activités censées devoir être déployées par la prétendue courtière, d'autre part, l'interprétation fondée sur le principe de la confiance. Elle a aussi renvoyé à "l'argumentation convaincante" des premiers juges concernant l'absence d'accord de fait ou de droit sur la rémunération de la soi-disant courtière.</w:t>
      </w:r>
    </w:p>
    <w:p>
      <w:r>
        <w:rPr>
          <w:b/>
        </w:rPr>
        <w:t>E. 5.1</w:t>
      </w:r>
    </w:p>
    <w:p>
      <w:r>
        <w:t>La Chambre patrimoniale (à laquelle s'est ralliée la Cour d'appel) a déployé une argumentation à plusieurs pans. A bien lire son jugement, elle a notamment considéré que ni l'une ni l'autre partie ne voulait</w:t>
      </w:r>
    </w:p>
    <w:p>
      <w:r>
        <w:t>en fait que l'entrepreneuse intervienne dans les négociations</w:t>
      </w:r>
    </w:p>
    <w:p>
      <w:r>
        <w:t>à titre onéreux . Pareil constat la dispensait en soi de procéder à une interprétation objective, laquelle ne s'impose que si les preuves font défaut ou ne sont pas concluantes, ou si le juge constate un désaccord latent ( ATF 144 III 93 consid. 5.2.1 et 5.2.3; arrêt précité 4A_643/2020 consid. 4.2.2 et 4.2.3 [2°-3°]). La Chambre patrimoniale (et à sa suite l'autorité d'appel) a donc ici décoché un moyen superfétatoire.</w:t>
      </w:r>
    </w:p>
    <w:p>
      <w:r>
        <w:t>Dans le cadre de l'interprétation subjective, les juges vaudois ont noté qu'à aucun moment, les représentants des parties (</w:t>
      </w:r>
    </w:p>
    <w:p>
      <w:r>
        <w:t>i.e Z.________ et A.________) n'avaient évoqué une quelconque rémunération. Il n'était pas non plus avéré que les décomptes provisoires établis par la recourante les 31 décembre 2014, 30 juin 2015 et 29 février 2016 auraient fait état de commissions. La recourante avait attendu les 22 et 29 septembre 2016 pour revendiquer ces commissions (soit près de quatre ans après la conclusion du bail), ce qui avait suscité l'immédiate opposition de la partie adverse.</w:t>
      </w:r>
    </w:p>
    <w:p>
      <w:r>
        <w:rPr>
          <w:b/>
        </w:rPr>
        <w:t>E. 5.2</w:t>
      </w:r>
    </w:p>
    <w:p>
      <w:r>
        <w:t>La recourante méconnaît apparemment les circonstances</w:t>
      </w:r>
    </w:p>
    <w:p>
      <w:r>
        <w:t>imposant d'appliquer l'interprétation objective. Elle semble adopter la prémisse que cette méthode prédominerait lorsqu'il faut rechercher si un contrat a été passé par actes concluants. Un tel postulat se révèle erroné (cf.</w:t>
      </w:r>
    </w:p>
    <w:p>
      <w:r>
        <w:t>supra consid. 3 et au surplus les arrêts 5A_881/2018 du 19 juin 2019 consid. 3.1.2.1 et 4A_421/2020 du 26 février 2021 consid. 3.1</w:t>
      </w:r>
    </w:p>
    <w:p>
      <w:r>
        <w:t>i.f. ). Le recours à l'interprétation objective présuppose que la volonté réelle des parties ne puisse pas être établie, ou qu'il existe un désaccord latent (consid. 3 et 5.1</w:t>
      </w:r>
    </w:p>
    <w:p>
      <w:r>
        <w:t>supra ); en ce cas, le justiciable qui s'accommode du constat selon lequel la volonté subjective n'est pas discernable peut se contenter d'attaquer l'interprétation objective (cf. par ex. arrêt 4A_307/2018 du 10 octobre 2018 consid. 5.1.4, 1ère phrase, cité par la recourante). On se trouve ici sous une autre constellation: la théorie de la confiance a été appliquée à titre superfétatoire, en sus de la constatation</w:t>
      </w:r>
    </w:p>
    <w:p>
      <w:r>
        <w:t>factuelle que les parties</w:t>
      </w:r>
    </w:p>
    <w:p>
      <w:r>
        <w:t>ne voulaient pas prévoir une rémunération. Aussi la recourante devait-elle attaquer ce constat en s'attelant à en démontrer l'arbitraire - ce qu'elle a omis de faire. Au demeurant, elle ne conteste pas s'être occupée de l'entier de la construction du projet immobilier et s'être particulièrement impliquée dans celui-ci - circonstance dont on pouvait inférer sans violer le droit fédéral que la sollicitation de certains conseils par Z.________ SA pouvait ne pas découler d'un contrat de courtage (arrêt p. 25 § 1). La recourante ne discute pas davantage le constat selon lequel la vente de locaux à F.________ lui a permis de décrocher une affaire rentable, ce qui peut aussi contribuer à infléchir sans arbitraire la thèse d'une intervention à titre onéreux.</w:t>
      </w:r>
    </w:p>
    <w:p>
      <w:r>
        <w:t>Faute de grief, il n'y a pas à rediscuter l'appréciation portée par les instances vaudoises, qui n'a au demeurant rien d'insoutenable. Il faut concéder qu'avant la facture finale du 29 septembre 2016, l'entrepreneuse avait déjà articulé des prétentions en paiement de commissions dans deux missives des 22 août et 22 septembre 2016. Par ailleurs, entre le 4 juin 2015 et le 2 septembre 2016, elle avait versé trois acomptes (totalisant 1'870'370 fr.) en prévision d'un coût final inférieur au prix plafond adapté. Il s'est toutefois avéré qu'il lui restait encore à payer 2'462'832 fr. Qu'elle ait subitement prétendu dans ce contexte avoir droit à des commissions ne peut être le fruit du hasard.</w:t>
      </w:r>
    </w:p>
    <w:p>
      <w:r>
        <w:t>A défaut d'avoir prouvé un accord de fait quant au caractère onéreux de ses interventions dans les négociations, la recourante ne saurait prétendre à des commissions.</w:t>
      </w:r>
    </w:p>
    <w:p>
      <w:r>
        <w:rPr>
          <w:b/>
        </w:rPr>
        <w:t>E. 5.3</w:t>
      </w:r>
    </w:p>
    <w:p>
      <w:r>
        <w:t>La Chambre patrimoniale, toujours suivie par la Cour d'appel, a aussi nié une volonté réelle et commune de confier à l'entrepreneuse la conduite des négociations du bail et de la vente immobilière. Sous l'empire de la même méprise, l'intéressée omet d'attaquer cette constatation factuelle et ne soulève pas un grief d'arbitraire. Tout au plus remet-elle en cause certains faits ayant contribué à constater l'inexistence d'un accord de fait, subsidiairement d'un accord de droit: elle conteste d'une part que la présence de son représentant (A.________) à la séance du 26 septembre 2012 avec E.________ était justifiée par la nécessité de discuter certains aspects techniques; elle nie d'autre part que le prix de vente concernant la transaction avec F.________ ait été discuté rapidement et sans âpres négociations lors de la séance du 1er septembre 2014, en pointant le fait que le prix n'aurait été négocié et discuté qu'à ce moment-là, hors la présence de Z.________.</w:t>
      </w:r>
    </w:p>
    <w:p>
      <w:r>
        <w:t>Concernant ces points précis, la recourante tente tout au plus d'imposer une appréciation divergente des déclarations et attitudes adoptées (qui ont été dûment prises en compte par la cour de céans, quand bien même elles ont été ici présentées en un succinct résumé), sans parvenir à insuffler un sentiment d'arbitraire. Elle échoue notamment à convaincre que les juges d'appel auraient négligé des éléments de preuves importants ou en auraient tiré des conclusions insoutenables (sur la notion d'arbitraire dans l'appréciation des preuves, cf. par ex. ATF 137 III 226 consid. 4.2 p. 234; 136 III 552 consid. 4.2). Qui plus est, ses critiques sont insuffisantes puisqu'elles ne ciblent pas le constat central selon lequel ni l'une ni l'autre partie n'avait l'intention de confier à l'entrepreneuse la conduite des négociations avec E.________ et F.________.</w:t>
      </w:r>
    </w:p>
    <w:p>
      <w:r>
        <w:t>Il peut être renvoyé au surplus à l'analyse effectuée dans les deux jugements vaudois, qui se révèle circonstanciée et convaincante.</w:t>
      </w:r>
    </w:p>
    <w:p>
      <w:r>
        <w:rPr>
          <w:b/>
        </w:rPr>
        <w:t>E. 6</w:t>
      </w:r>
    </w:p>
    <w:p>
      <w:r>
        <w:t>En définitive, le recours est manifestement mal fondé ( art. 109 al. 2 let. a LTF ) et doit être rejeté aux frais de son auteur ( art. 66 al. 1 LTF ), qui versera des dépens à son adverse partie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