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4A_7/2008 vom 16. November 2009</w:t>
      </w:r>
    </w:p>
    <w:p>
      <w:r>
        <w:t>Bundesgericht, 2009-11-16, DE</w:t>
      </w:r>
    </w:p>
    <w:p>
      <w:r>
        <w:rPr>
          <w:b/>
        </w:rPr>
        <w:t xml:space="preserve">Quelle: </w:t>
      </w:r>
      <w:r>
        <w:t>https://mcp.opencaselaw.ch/entscheid/bger_4A_7_2008</w:t>
      </w:r>
    </w:p>
    <w:p>
      <w:r>
        <w:t>FR: TF 4A_7/2008 du 16 novembre 2009</w:t>
      </w:r>
    </w:p>
    <w:p>
      <w:r>
        <w:t>IT: TF 4A_7/2008 del 16 novembre 2009</w:t>
      </w:r>
    </w:p>
    <w:p>
      <w:pPr>
        <w:pStyle w:val="Heading2"/>
      </w:pPr>
      <w:r>
        <w:t>Erwägungen</w:t>
      </w:r>
    </w:p>
    <w:p>
      <w:r>
        <w:rPr>
          <w:b/>
        </w:rPr>
        <w:t>E. 1</w:t>
      </w:r>
    </w:p>
    <w:p>
      <w:r>
        <w:t>Wenn der Entscheid eines oberen kantonalen Gerichts mit einem Rechtsmittel, das nicht alle Rügen nach Art. 95-98 zulässt, bei einer zusätzlichen kantonalen Gerichtsinstanz angefochten worden ist, so beginnt die Beschwerdefrist erst mit der Eröffnung des Entscheids dieser Instanz ( Art. 100 Abs. 6 BGG ). Mit der Beschwerde in Zivilsachen kann unter dieser Voraussetzung auch das Urteil der oberen kantonalen Instanz angefochten werden, soweit im Rahmen der Beschwerde in Zivilsachen zulässige Rügen dem höchsten kantonalen Gericht nicht unterbreitet werden konnten ( BGE 134 III 92 E. 1.1). Die gegen den Entscheid des Obergerichts vom 13. November 2007 erhobene Beschwerde in Zivilsachen vom 2. Juli 2009, welche diejenige vom 4. Januar 2008 ersetzt, wurde innert 30 Tagen seit Eröffnung des Sitzungsbeschlusses des Kassationsgerichts und somit rechtzeitig eingereicht.</w:t>
      </w:r>
    </w:p>
    <w:p>
      <w:r>
        <w:rPr>
          <w:b/>
        </w:rPr>
        <w:t>E. 2</w:t>
      </w:r>
    </w:p>
    <w:p>
      <w:r>
        <w:t>Das Bundesgericht prüft von Amtes wegen und mit freier Kognition, ob ein Rechtsmittel zulässig ist ( BGE 135 III 212 E. 1); immerhin muss die Eingabe auch bezüglich der Eintretensvoraussetzungen hinreichend begründet werden ( Art. 42 Abs. 1 und 2 BGG ; BGE 134 II 120 E. 1 S. 121).</w:t>
      </w:r>
    </w:p>
    <w:p>
      <w:r>
        <w:rPr>
          <w:b/>
        </w:rPr>
        <w:t>E. 2.1</w:t>
      </w:r>
    </w:p>
    <w:p>
      <w:r>
        <w:t>Die Beschwerde in Zivilsachen ist zulässig gegen Endentscheide, mithin solche, die das Verfahren abschliessen ( Art. 90 BGG ). Das vorliegend angefochtene Vor-Urteil des Obergerichts vom 13. November 2007 trifft eine Feststellung zu einer Vorfrage, nämlich zur Frage, ob die äussere Liquidation der einfachen Gesellschaft trotz hängigem Verfahren betreffend Grundstückgewinnsteuer abgeschlossen ist oder nicht. Entscheide, die Vorfragen zum Gegenstand haben, sind Zwischenentscheide ( BGE 132 III 785 E. 2 S. 789). Auch der im Weiteren angefochtene Beschluss des Obergerichts, womit es das Urteil des Bezirksgerichts Horgen aufhob und die Sache zur Ergänzung des Verfahrens im Sinne der Erwägungen und zu neuem Entscheid an dieses zurückwies, stellt einen Zwischenentscheid dar, gelten doch Rückweisungsentscheide als Zwischenentscheide ( BGE 135 III 329 E. 1.2, 212 E. 1.2 S. 216).</w:t>
      </w:r>
    </w:p>
    <w:p>
      <w:r>
        <w:t>Gegen selbständig eröffnete Zwischenentscheide, die weder die Zuständigkeit noch den Ausstand betreffen, ist die Beschwerde nur zulässig, wenn eine der folgenden alternativen Voraussetzungen erfüllt ist: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 BGE 134 III 188 E. 2.2; 133 III 629 E. 2.1). Die Ausnahme ist restriktiv zu handhaben. Dementsprechend obliegt es dem Beschwerdeführer darzutun, dass die Voraussetzungen von Art. 93 BGG erfüllt sind, soweit deren Vorliegen nicht offensichtlich in die Augen springt ( BGE 134 III 426 E. 1.2 in fine; 133 III 629 E. 2.3.1 und 2.4.2).</w:t>
      </w:r>
    </w:p>
    <w:p>
      <w:r>
        <w:rPr>
          <w:b/>
        </w:rPr>
        <w:t>E. 2.2</w:t>
      </w:r>
    </w:p>
    <w:p>
      <w:r>
        <w:t>Einen nicht wieder gutzumachenden Nachteil macht der Beschwerdeführer nicht geltend und ist auch nicht ersichtlich.</w:t>
      </w:r>
    </w:p>
    <w:p>
      <w:r>
        <w:rPr>
          <w:b/>
        </w:rPr>
        <w:t>E. 2.3</w:t>
      </w:r>
    </w:p>
    <w:p>
      <w:r>
        <w:t>Hingegen beruft sich der Beschwerdeführer auf Art. 93 Abs. 1 lit. b BGG .</w:t>
      </w:r>
    </w:p>
    <w:p>
      <w:r>
        <w:t>Die erste Voraussetzung von Art. 93 Abs. 1 lit. b BGG , dass das Bundesgericht, sollte es die Rechtsauffassung des Beschwerdeführers teilen, einen verfahrensabschliessenden Endentscheid fällen könnte, ist insoweit formell erfüllt, als der Beschwerdeführer im Hauptantrag die Abweisung der Klage des Beschwerdegegners verlangt hat. Es mag sodann auch zutreffen, dass bei einer Qualifikation der (damals noch nicht rechtskräftig veranlagten) Grundstückgewinnsteuerschuld als gemeinschaftliche Schuld im Sinn von Art. 549 Abs. 1 OR , die eine äussere Liquidationshandlung erforderlich machen sollte, die Leistungsklage des Beschwerdegegners als verfrüht (zur Zeit) abzuweisen wäre (vgl. Urteil 4C.416/2005 vom 24. Februar 2006 E. 3.3 und 3.4), so dass ein Endentscheid herbeigeführt werden könnte. Immerhin wäre zu prüfen, ob in einer Konstellation wie der vorliegenden aus prozessökonomischen Gründen ausnahmsweise das echte Novum des zwischenzeitlich ergangenen Veranlagungsentscheids, wonach keine Grundstückgewinnsteuer geschuldet ist, zu berücksichtigen wäre. Denn der Beschwerdeführer legt in seiner Replik selbst dar, dass das Bezirksgericht ohnehin, sowohl bei Abweisung der Beschwerde durch das Bundesgericht als auch bei deren Gutheissung mit Klagabweisung, den Prozess unter den Parteien nochmals von vorne aufrollen müsste.</w:t>
      </w:r>
    </w:p>
    <w:p>
      <w:r>
        <w:t>Die Frage kann offen bleiben, denn es ist nicht dargetan, dass das vom Bezirksgericht durchzuführende Beweisverfahren weitläufig und der Aufwand an Zeit oder Kosten hierfür bedeutend sei. Der Beschwerdeführer verweist in diesem Zusammenhang lediglich auf S. 29 ff. des angefochtenen Entscheids, wo das Obergericht ausführt, dass zu mehreren Punkten ein Beweisverfahren durchzuführen ist. Der Beschwerdeführer begründet aber nicht, dass die anstehenden Beweiserhebungen weitläufig und der dafür anfallende Aufwand an Zeit oder Kosten bedeutend wären. Weder das eine noch das andere ist ohne weiteres ersichtlich. Zudem könnte bei Klagabweisung (zur Zeit) die Durchführung des Beweisverfahrens ohnehin bloss vorläufig erspart werden. Das Beweisverfahren müsste im Rahmen der erneuten Klage des Beschwerdegegners nach Abschluss der externen Liquidation dennoch durchgeführt werden, wie der Beschwerdeführer in seiner Replik selbst zugesteht. Die zweite Voraussetzung von Art. 93 Abs. 1 lit. b BGG kann daher nicht als gegeben betrachtet werden. Die Beschwerde erweist sich demnach als unzulässig und es kann nicht auf sie eingetreten werden.</w:t>
      </w:r>
    </w:p>
    <w:p>
      <w:r>
        <w:rPr>
          <w:b/>
        </w:rPr>
        <w:t>E. 3</w:t>
      </w:r>
    </w:p>
    <w:p>
      <w:r>
        <w:t>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