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4A_79/2010 vom 29. April 2010</w:t>
      </w:r>
    </w:p>
    <w:p>
      <w:r>
        <w:t>Bundesgericht, 2010-04-29, FR</w:t>
      </w:r>
    </w:p>
    <w:p>
      <w:r>
        <w:rPr>
          <w:b/>
        </w:rPr>
        <w:t xml:space="preserve">Quelle: </w:t>
      </w:r>
      <w:r>
        <w:t>https://mcp.opencaselaw.ch/entscheid/bger_4A_79_2010</w:t>
      </w:r>
    </w:p>
    <w:p>
      <w:r>
        <w:t>FR: TF 4A_79/2010 du 29 avril 2010</w:t>
      </w:r>
    </w:p>
    <w:p>
      <w:r>
        <w:t>IT: TF 4A_79/2010 del 29 aprile 2010</w:t>
      </w:r>
    </w:p>
    <w:p>
      <w:pPr>
        <w:pStyle w:val="Heading2"/>
      </w:pPr>
      <w:r>
        <w:t>Erwägungen</w:t>
      </w:r>
    </w:p>
    <w:p>
      <w:r>
        <w:rPr>
          <w:b/>
        </w:rPr>
        <w:t>E. 1.1</w:t>
      </w:r>
    </w:p>
    <w:p>
      <w:r>
        <w:t>Interjeté par la partie qui a succombé dans ses conclusions en paiement ( art. 76 al. 1 LTF ) et dirigé contre un arrêt final ( art. 90 LTF ; cf. arrêt 1C_400/2009 du 19 février 2010 consid. 1.2) rendu en matière civile ( art. 72 al. 1 LTF ) par une autorité cantonale de dernière instance ( art. 75 LTF ) dans une affaire pécuniaire dont la valeur litigieuse (déterminée selon les dernières conclusions prises devant l'autorité précédente: art. 51 al. 1 let. a LTF ) atteint le seuil de 30'000 fr. ( art. 74 al. 1 let. b LTF ), le recours est en principe recevable, puisqu'il a été déposé dans le délai (art. 48 al. 1 et 100 al. 1 LTF) et la forme ( art. 42 LTF ) prévus par la loi.</w:t>
      </w:r>
    </w:p>
    <w:p>
      <w:r>
        <w:rPr>
          <w:b/>
        </w:rPr>
        <w:t>E. 1.2</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135 III 397 consid. 1.4 p. 400; 134 III 102 consid. 1.1 p. 104).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III 397 consid. 1.4 p. 400).</w:t>
      </w:r>
    </w:p>
    <w:p>
      <w:r>
        <w:t>Par exception à la règle selon laquelle il applique le droit d'office, le Tribunal fédéral ne peut entrer en matière sur la violation d'un droit constitutionnel ou sur une question relevant du droit cantonal ou intercantonal que si le grief a été invoqué et motivé de manière précise par la partie recourante ( art. 106 al. 2 LTF ).</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135 III 127 consid. 1.5 p. 130, 397 consid. 1.5 p. 401; 135 II 145 consid. 8.1 p. 153) - ou en violation du droit au sens de l' art. 95 LTF ( art. 105 al. 2 LTF ).</w:t>
      </w:r>
    </w:p>
    <w:p>
      <w:r>
        <w:t>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133 IV 286 consid. 1.4 et 6.2). Encore faut-il que la rectification demandée soit susceptible d'influer sur le sort de la cause ( art. 97 al. 1 LTF ). Aucun fait nouveau ni preuve nouvelle ne peut être présenté à moins de résulter de la décision de l'autorité précédente ( art. 99 al. 1 LTF ).</w:t>
      </w:r>
    </w:p>
    <w:p>
      <w:r>
        <w:rPr>
          <w:b/>
        </w:rPr>
        <w:t>E. 1.4</w:t>
      </w:r>
    </w:p>
    <w:p>
      <w:r>
        <w:t>Le Tribunal fédéral ne peut aller au-delà des conclusions des parties ( art. 107 al. 1 LTF ). Toute conclusion nouvelle est irrecevable ( art. 99 al. 2 LTF ).</w:t>
      </w:r>
    </w:p>
    <w:p>
      <w:r>
        <w:rPr>
          <w:b/>
        </w:rPr>
        <w:t>E. 2.1</w:t>
      </w:r>
    </w:p>
    <w:p>
      <w:r>
        <w:t>Le recourant est d'avis que c'est à tort que la cour cantonale a considéré que l'intimée est dépourvue de la légitimation passive.</w:t>
      </w:r>
    </w:p>
    <w:p>
      <w:r>
        <w:t>La légitimation active ou passive dans un procès civil relève du fondement matériel de l'action; elle appartient au sujet (actif ou passif) du droit invoqué en justice et son absence entraîne, non pas l'irrecevabilité de la demande, mais son rejet ( ATF 128 III 50 consid. 2b/bb p. 55 et les références).</w:t>
      </w:r>
    </w:p>
    <w:p>
      <w:r>
        <w:rPr>
          <w:b/>
        </w:rPr>
        <w:t>E. 2.2</w:t>
      </w:r>
    </w:p>
    <w:p>
      <w:r>
        <w:t>Interprétant la convention de reprise de portefeuille du 18 décembre 2006, le Tribunal de première instance l'a qualifiée de contrat de vente mobilière; il a retenu que l'intimée n'était pas partie à ce contrat (défaut de légitimation passive) et a débouté le recourant de toutes ses conclusions.</w:t>
      </w:r>
    </w:p>
    <w:p>
      <w:r>
        <w:t>Ce jugement a été confirmé, sur le fond, par la cour cantonale, celle-ci procédant à une substitution des motifs. En articulant son jugement autour de la figure de la reprise de contrat (cf. à ce sujet: arrêt 5C.51/2004 du 28 mai 2004 consid. 3.1), l'autorité précédente n'a toutefois pas, contrairement à l'affirmation du recourant, tranché la question de la qualification du contrat du 18 décembre 2006. L'argumentation de l'autorité précédente vise plutôt à démontrer que, même dans l'hypothèse où B.________ (le sortant) et l'intimée (le nouveau cocontractant) aurait conclu un contrat (bipartite) de transfert (ayant pour objet notamment le contrat de gérance du 12 février 2003), on ne peut admettre l'existence d'une relation contractuelle entre le recourant (le restant) et l'intimée; après avoir expliqué la figure - controversée en doctrine sur certains points (cf. PASCAL G. FAVRE, Le transfert convention de contrat, 2005, n. 538 ss p. 184 ss) du contrat bipartite soumis à l'assentiment (ou ratification) du restant, la cour cantonale a en effet jugé que la ratification n'était pas établie en l'espèce.</w:t>
      </w:r>
    </w:p>
    <w:p>
      <w:r>
        <w:t>Le recourant conteste l'approche de la cour cantonale en soutenant que la ratification devrait être admise au moins depuis le 8 mai 2007, date à laquelle il a contesté le décompte-propriétaire 2006 (donc antérieur à la reprise du portefeuille) auprès de l'intimée. Selon lui, cette démarche confirme la reprise du contrat et il importe peu qu'elle ait eu lieu dans le délai de résiliation du contrat de gérance (celui-ci ayant été résilié par courrier du 30 mars 2007).</w:t>
      </w:r>
    </w:p>
    <w:p>
      <w:r>
        <w:rPr>
          <w:b/>
        </w:rPr>
        <w:t>E. 2.3</w:t>
      </w:r>
    </w:p>
    <w:p>
      <w:r>
        <w:t>La cour cantonale a jugé la question de la légitimation passive de l'intimée, sans trancher celle de la qualification juridique du contrat du 18 décembre 2006, alors même que la première instance avait qualifié celui-ci de vente mobilière (fonds de commerce). Ce faisant, elle a montré qu'elle ne parvenait pas à établir la volonté réelle et concordante des parties sur ce point. En l'espèce, il n'est cependant pas nécessaire d'interpréter la convention selon la théorie de la confiance (cf. art. 18 CO ; ATF 135 III 410 consid. 3.2 p. 413) pour indiquer s'il s'agit plutôt d'un contrat de vente (avis de la première instance) ou d'un contrat de transfert (opinion du recourant).</w:t>
      </w:r>
    </w:p>
    <w:p>
      <w:r>
        <w:t>Si l'on admet l'existence d'un contrat de vente ( art. 184 ss CO ), il est manifeste que celui-ci ne concerne que le vendeur (B.________) et l'acheteur (l'intimée); en raison de la relativité des conventions, le recourant, en tant que tiers, ne peut s'en prévaloir. Si l'on admet l'existence d'un contrat de transfert, il suffit d'examiner, sous l'angle de la théorie de la confiance, un élément du contrat pour parvenir à la conclusion que l'intimée ne possède pas la légitimation passive (cf. infra consid. 2.4).</w:t>
      </w:r>
    </w:p>
    <w:p>
      <w:r>
        <w:rPr>
          <w:b/>
        </w:rPr>
        <w:t>E. 2.4</w:t>
      </w:r>
    </w:p>
    <w:p>
      <w:r>
        <w:t>Il ressort des constatations cantonales ( art. 105 al. 1 LTF ) que la convention litigieuse indique que l'intimée a repris, au 1er janvier 2007, "le portefeuille de gérance et d'administration de copropriétés". On peut également y lire que c'est à compter de cette date que "tous les mandats de gérance et d'administration de W.________ [sont entrés] dans le portefeuille de Y.________". La cour cantonale n'a retenu aucun autre élément qui remettrait en question la date de la "reprise". Au contraire, elle a mis en évidence que le 1er janvier 2007 représentait bien une date-clé, pour les parties, s'agissant des effets de l'ensemble du contrat, puisqu'il est précisé, concernant les frais liés au bail des locaux transférés, que l'intimée ne les prenait en charge également qu'à partir de cette date. Le recourant ne tente d'ailleurs pas de démontrer que d'autres circonstances déterminantes obligeraient à relativiser, ou à lire différemment le contrat sur ce point.</w:t>
      </w:r>
    </w:p>
    <w:p>
      <w:r>
        <w:t>Il n'est ainsi pas douteux que, dans l'hypothèse d'un contrat de transfert, l'objectif des parties était de restreindre le transfert dans le temps, ce que la liberté contractuelle leur permettait de faire (entre autres auteurs: PHILIPPE REYMOND, La cession des contrats, 1989, p. 56). Autrement dit, leur but était de procéder à un transfert limité de contrat (sur la notion: FAVRE, op. cit., n. 100 p. 26; ERICA MERGNER-DAL VESCO, Die Übertragung des Vertrages unter besonderer Berücksichtigung des sozialschutzes im Arbeits- und Mietvertragsrecht, thèse Bâle 1989, p. 90). Ainsi, il ressort de l'interprétation objective de la convention, toujours dans l'hypothèse du contrat de transfert, que l'intimée (nouveau cocontractant) entendait remplacer la partie sortante dans le contrat de base (contrat de gérance) uniquement pour la période postérieure au transfert, fixé contractuellement au 1er janvier 2007. On observera que l'existence d'un transfert limité est loin d'être surprenante en présence d'un contrat de gérance conçu comme un contrat de durée, le nouveau cocontractant ayant un intérêt manifeste à restreindre le transfert dans le temps pour éviter de devoir supporter les éventuels risques liés à une situation antérieure (cf. FAVRE, op. cit., n. 113 p. 29 ; PETER FRÜH, Die Vertragsübertragung im schweizerischen Recht, thèse Zurich 1944, p. 77; en droit allemand, cf. KARL LARENZ, Lehrbuch des Schuldrechts, Band I, Allgemeiner Teil, 1987, p. 618; MERGNER-DAL VESCO, op. cit., p. 90, est même d'avis qu'il convient d'admettre une présomption de transfert limité en présence d'un contrat de base de durée). Concernant spécifiquement une demande en dommages-intérêts, la limitation temporelle du transfert signifie que cette demande ne peut être adressée au nouveau cocontractant que si le dommage découle d'un fait postérieur au transfert (cf. FAVRE, op. cit., n. 1599 s. p. 573 s.). Dans le cas contraire, seul le sortant possède la légitimation passive.</w:t>
      </w:r>
    </w:p>
    <w:p>
      <w:r>
        <w:t>Au regard de la motivation retenue ci-dessus, certains points de fait présentés par le recourant, visant à appuyer la thèse d'une ratification du contrat de transfert, ne sont pas susceptibles d'avoir une incidence sur le sort de la cause (cf. supra consid. 1.3) et ils ne sont donc d'aucune aide pour le recourant.</w:t>
      </w:r>
    </w:p>
    <w:p>
      <w:r>
        <w:t>En l'espèce, il ressort des constatations cantonales que la demande en paiement repose sur un fait antérieur - le défaut de notification par B.________ de l'avis de fixation du loyer initial - au 1er janvier 2007. Le recourant lui-même insiste sur ce point en indiquant qu'il s'est adressé à l'intimée à plusieurs reprises "s'agissant des prétentions antérieures à la reprise de portefeuille" et en soulignant que l'intimée n'a jamais fait valoir qu'elle n'entendait pas entrer en matière sur ces prétentions, au motif qu'elles ne concernaient que W.________ (mémoire, p. 6 s.).</w:t>
      </w:r>
    </w:p>
    <w:p>
      <w:r>
        <w:t>C'est donc sans violer le droit fédéral que la cour cantonale a jugé que l'intimée est dépourvue de la légitimation passive et qu'elle a débouté le recourant de ses conclusions.</w:t>
      </w:r>
    </w:p>
    <w:p>
      <w:r>
        <w:rPr>
          <w:b/>
        </w:rPr>
        <w:t>E. 3</w:t>
      </w:r>
    </w:p>
    <w:p>
      <w:r>
        <w:t>Le recours est rejeté.</w:t>
      </w:r>
    </w:p>
    <w:p>
      <w:r>
        <w:t>Compte tenu de l'issue du litige, les frais et dépens sont mis à la charge du recourant,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